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06" w:rsidRDefault="00F94806" w:rsidP="00A023AA">
      <w:pPr>
        <w:pStyle w:val="HTMLVorformatiert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Supplementary d</w:t>
      </w:r>
      <w:r w:rsidRPr="00CE3EE1">
        <w:rPr>
          <w:rFonts w:ascii="Arial" w:hAnsi="Arial" w:cs="Arial"/>
          <w:lang w:val="en-US"/>
        </w:rPr>
        <w:t xml:space="preserve">ata from: </w:t>
      </w:r>
    </w:p>
    <w:p w:rsidR="00F94806" w:rsidRDefault="00F94806" w:rsidP="00A023AA">
      <w:pPr>
        <w:pStyle w:val="HTMLVorformatiert"/>
        <w:spacing w:line="360" w:lineRule="auto"/>
        <w:jc w:val="both"/>
        <w:rPr>
          <w:rFonts w:ascii="Arial" w:hAnsi="Arial" w:cs="Arial"/>
          <w:lang w:val="en-US"/>
        </w:rPr>
      </w:pPr>
    </w:p>
    <w:p w:rsidR="00F94806" w:rsidRPr="00CE3EE1" w:rsidRDefault="00F94806" w:rsidP="00A023AA">
      <w:pPr>
        <w:pStyle w:val="HTMLVorformatiert"/>
        <w:spacing w:line="360" w:lineRule="auto"/>
        <w:jc w:val="both"/>
        <w:rPr>
          <w:rFonts w:ascii="Arial" w:hAnsi="Arial" w:cs="Arial"/>
          <w:lang w:val="en-US"/>
        </w:rPr>
      </w:pPr>
      <w:r w:rsidRPr="007D2444">
        <w:rPr>
          <w:rFonts w:ascii="Arial" w:hAnsi="Arial" w:cs="Arial"/>
          <w:b/>
          <w:lang w:val="en-US"/>
        </w:rPr>
        <w:t>Serum uromodulin is associated with but does not predict type 2 diabetes in elderly KORA F4/FF4 study participants</w:t>
      </w:r>
      <w:r w:rsidRPr="00CE3EE1">
        <w:rPr>
          <w:rFonts w:ascii="Arial" w:hAnsi="Arial" w:cs="Arial"/>
          <w:lang w:val="en-US"/>
        </w:rPr>
        <w:t xml:space="preserve"> </w:t>
      </w:r>
    </w:p>
    <w:p w:rsidR="00F94806" w:rsidRPr="00F94806" w:rsidRDefault="00F94806" w:rsidP="00A023AA">
      <w:pPr>
        <w:pStyle w:val="HTMLVorformatiert"/>
        <w:spacing w:line="360" w:lineRule="auto"/>
        <w:jc w:val="both"/>
        <w:rPr>
          <w:rFonts w:ascii="Arial" w:hAnsi="Arial" w:cs="Arial"/>
          <w:lang w:val="en-US"/>
        </w:rPr>
      </w:pPr>
    </w:p>
    <w:p w:rsidR="00F94806" w:rsidRPr="00F94806" w:rsidRDefault="00F94806" w:rsidP="00A023AA">
      <w:pPr>
        <w:pStyle w:val="HTMLVorformatiert"/>
        <w:spacing w:line="360" w:lineRule="auto"/>
        <w:jc w:val="both"/>
        <w:rPr>
          <w:rFonts w:ascii="Arial" w:hAnsi="Arial" w:cs="Arial"/>
        </w:rPr>
      </w:pPr>
      <w:r w:rsidRPr="00F94806">
        <w:rPr>
          <w:rFonts w:ascii="Arial" w:hAnsi="Arial" w:cs="Arial"/>
        </w:rPr>
        <w:t xml:space="preserve">Cornelia Then, Holger Then, Christa </w:t>
      </w:r>
      <w:proofErr w:type="spellStart"/>
      <w:r w:rsidRPr="00F94806">
        <w:rPr>
          <w:rFonts w:ascii="Arial" w:hAnsi="Arial" w:cs="Arial"/>
        </w:rPr>
        <w:t>Meisinger</w:t>
      </w:r>
      <w:proofErr w:type="spellEnd"/>
      <w:r w:rsidRPr="00F94806">
        <w:rPr>
          <w:rFonts w:ascii="Arial" w:hAnsi="Arial" w:cs="Arial"/>
        </w:rPr>
        <w:t xml:space="preserve">, Margit Heier, Annette Peters, Wolfgang </w:t>
      </w:r>
      <w:proofErr w:type="spellStart"/>
      <w:r w:rsidRPr="00F94806">
        <w:rPr>
          <w:rFonts w:ascii="Arial" w:hAnsi="Arial" w:cs="Arial"/>
        </w:rPr>
        <w:t>Koenig</w:t>
      </w:r>
      <w:proofErr w:type="spellEnd"/>
      <w:r w:rsidRPr="00F94806">
        <w:rPr>
          <w:rFonts w:ascii="Arial" w:hAnsi="Arial" w:cs="Arial"/>
        </w:rPr>
        <w:t xml:space="preserve">, Wolfgang Rathmann, Jürgen Scherberich, Jochen </w:t>
      </w:r>
      <w:proofErr w:type="spellStart"/>
      <w:r w:rsidRPr="00F94806">
        <w:rPr>
          <w:rFonts w:ascii="Arial" w:hAnsi="Arial" w:cs="Arial"/>
        </w:rPr>
        <w:t>Seissler</w:t>
      </w:r>
      <w:proofErr w:type="spellEnd"/>
      <w:r w:rsidRPr="00F94806">
        <w:rPr>
          <w:rFonts w:ascii="Arial" w:hAnsi="Arial" w:cs="Arial"/>
        </w:rPr>
        <w:t xml:space="preserve"> (2019) </w:t>
      </w:r>
    </w:p>
    <w:p w:rsidR="00F94806" w:rsidRPr="00F94806" w:rsidRDefault="00F94806" w:rsidP="00A023AA">
      <w:pPr>
        <w:pStyle w:val="HTMLVorformatiert"/>
        <w:spacing w:line="360" w:lineRule="auto"/>
        <w:jc w:val="both"/>
        <w:rPr>
          <w:rFonts w:ascii="Arial" w:hAnsi="Arial" w:cs="Arial"/>
        </w:rPr>
      </w:pPr>
    </w:p>
    <w:p w:rsidR="00F94806" w:rsidRDefault="00F94806" w:rsidP="00A023AA">
      <w:pPr>
        <w:pStyle w:val="HTMLVorformatiert"/>
        <w:spacing w:line="360" w:lineRule="auto"/>
        <w:jc w:val="both"/>
        <w:rPr>
          <w:rFonts w:ascii="Arial" w:hAnsi="Arial" w:cs="Arial"/>
          <w:lang w:val="en-US"/>
        </w:rPr>
      </w:pPr>
      <w:r w:rsidRPr="00CE3EE1">
        <w:rPr>
          <w:rFonts w:ascii="Arial" w:hAnsi="Arial" w:cs="Arial"/>
          <w:lang w:val="en-US"/>
        </w:rPr>
        <w:t xml:space="preserve">The associated </w:t>
      </w:r>
      <w:r w:rsidRPr="00F94806">
        <w:rPr>
          <w:rFonts w:ascii="Arial" w:hAnsi="Arial" w:cs="Arial"/>
          <w:lang w:val="en-US"/>
        </w:rPr>
        <w:t xml:space="preserve">article </w:t>
      </w:r>
      <w:proofErr w:type="gramStart"/>
      <w:r w:rsidR="006312C6">
        <w:rPr>
          <w:rFonts w:ascii="Arial" w:hAnsi="Arial" w:cs="Arial"/>
          <w:lang w:val="en-US"/>
        </w:rPr>
        <w:t>has been</w:t>
      </w:r>
      <w:r w:rsidRPr="00F94806">
        <w:rPr>
          <w:rFonts w:ascii="Arial" w:hAnsi="Arial" w:cs="Arial"/>
          <w:lang w:val="en-US"/>
        </w:rPr>
        <w:t xml:space="preserve"> submitted</w:t>
      </w:r>
      <w:proofErr w:type="gramEnd"/>
      <w:r>
        <w:rPr>
          <w:rFonts w:ascii="Arial" w:hAnsi="Arial" w:cs="Arial"/>
          <w:lang w:val="en-US"/>
        </w:rPr>
        <w:t xml:space="preserve"> to the</w:t>
      </w:r>
      <w:r w:rsidRPr="00CE3EE1">
        <w:rPr>
          <w:rFonts w:ascii="Arial" w:hAnsi="Arial" w:cs="Arial"/>
          <w:lang w:val="en-US"/>
        </w:rPr>
        <w:t xml:space="preserve"> </w:t>
      </w:r>
      <w:r w:rsidRPr="00F94806">
        <w:rPr>
          <w:rFonts w:ascii="Arial" w:hAnsi="Arial" w:cs="Arial"/>
          <w:i/>
          <w:lang w:val="en-US"/>
        </w:rPr>
        <w:t>Journal of Clinical Endocrinology and Metabolism</w:t>
      </w:r>
      <w:r w:rsidR="006312C6">
        <w:rPr>
          <w:rFonts w:ascii="Arial" w:hAnsi="Arial" w:cs="Arial"/>
          <w:lang w:val="en-US"/>
        </w:rPr>
        <w:t xml:space="preserve"> (</w:t>
      </w:r>
      <w:r w:rsidR="00C340D3" w:rsidRPr="00C340D3">
        <w:rPr>
          <w:rFonts w:ascii="Arial" w:hAnsi="Arial" w:cs="Arial"/>
          <w:lang w:val="en-US"/>
        </w:rPr>
        <w:t>jc2018-02557</w:t>
      </w:r>
      <w:r w:rsidR="006312C6">
        <w:rPr>
          <w:rFonts w:ascii="Arial" w:hAnsi="Arial" w:cs="Arial"/>
          <w:lang w:val="en-US"/>
        </w:rPr>
        <w:t>)</w:t>
      </w:r>
      <w:r w:rsidR="0062510F">
        <w:rPr>
          <w:rFonts w:ascii="Arial" w:hAnsi="Arial" w:cs="Arial"/>
          <w:lang w:val="en-US"/>
        </w:rPr>
        <w:t>.</w:t>
      </w:r>
    </w:p>
    <w:p w:rsidR="00F94806" w:rsidRPr="00CE3EE1" w:rsidRDefault="00F94806" w:rsidP="00A023AA">
      <w:pPr>
        <w:pStyle w:val="HTMLVorformatiert"/>
        <w:spacing w:line="360" w:lineRule="auto"/>
        <w:jc w:val="both"/>
        <w:rPr>
          <w:rFonts w:ascii="Arial" w:hAnsi="Arial" w:cs="Arial"/>
          <w:lang w:val="en-US"/>
        </w:rPr>
      </w:pPr>
      <w:r w:rsidRPr="00CE3EE1">
        <w:rPr>
          <w:rFonts w:ascii="Arial" w:hAnsi="Arial" w:cs="Arial"/>
          <w:lang w:val="en-US"/>
        </w:rPr>
        <w:t>Please cite the original article when using these data.</w:t>
      </w:r>
    </w:p>
    <w:p w:rsidR="00F94806" w:rsidRDefault="00F94806" w:rsidP="00A023AA">
      <w:pPr>
        <w:pStyle w:val="HTMLVorformatiert"/>
        <w:spacing w:line="360" w:lineRule="auto"/>
        <w:jc w:val="both"/>
        <w:rPr>
          <w:rFonts w:ascii="Arial" w:hAnsi="Arial" w:cs="Arial"/>
          <w:lang w:val="en-US"/>
        </w:rPr>
      </w:pPr>
    </w:p>
    <w:p w:rsidR="00F94806" w:rsidRPr="00CE3EE1" w:rsidRDefault="00F94806" w:rsidP="00A023AA">
      <w:pPr>
        <w:pStyle w:val="HTMLVorformatiert"/>
        <w:spacing w:line="360" w:lineRule="auto"/>
        <w:rPr>
          <w:rFonts w:ascii="Arial" w:hAnsi="Arial" w:cs="Arial"/>
          <w:lang w:val="en-US"/>
        </w:rPr>
      </w:pPr>
    </w:p>
    <w:p w:rsidR="00F94806" w:rsidRPr="00CE3EE1" w:rsidRDefault="00F94806" w:rsidP="00A023AA"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Description</w:t>
      </w:r>
    </w:p>
    <w:p w:rsidR="00C94949" w:rsidRDefault="00C94949" w:rsidP="00A023AA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94949">
        <w:rPr>
          <w:rFonts w:ascii="Arial" w:hAnsi="Arial" w:cs="Arial"/>
          <w:b/>
          <w:sz w:val="20"/>
          <w:szCs w:val="20"/>
          <w:lang w:val="en-US"/>
        </w:rPr>
        <w:t>Background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="00F94806" w:rsidRPr="00CE3EE1">
        <w:rPr>
          <w:rFonts w:ascii="Arial" w:hAnsi="Arial" w:cs="Arial"/>
          <w:sz w:val="20"/>
          <w:szCs w:val="20"/>
          <w:lang w:val="en-US"/>
        </w:rPr>
        <w:t>Serum uromodulin</w:t>
      </w:r>
      <w:r w:rsidR="00C340D3">
        <w:rPr>
          <w:rFonts w:ascii="Arial" w:hAnsi="Arial" w:cs="Arial"/>
          <w:sz w:val="20"/>
          <w:szCs w:val="20"/>
          <w:lang w:val="en-US"/>
        </w:rPr>
        <w:t xml:space="preserve"> (sUmod)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is a novel biomarker for kidney function and </w:t>
      </w:r>
      <w:proofErr w:type="gramStart"/>
      <w:r w:rsidR="00F94806" w:rsidRPr="00CE3EE1">
        <w:rPr>
          <w:rFonts w:ascii="Arial" w:hAnsi="Arial" w:cs="Arial"/>
          <w:sz w:val="20"/>
          <w:szCs w:val="20"/>
          <w:lang w:val="en-US"/>
        </w:rPr>
        <w:t>was suggested</w:t>
      </w:r>
      <w:proofErr w:type="gramEnd"/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to be associated with t</w:t>
      </w:r>
      <w:r w:rsidR="006312C6">
        <w:rPr>
          <w:rFonts w:ascii="Arial" w:hAnsi="Arial" w:cs="Arial"/>
          <w:sz w:val="20"/>
          <w:szCs w:val="20"/>
          <w:lang w:val="en-US"/>
        </w:rPr>
        <w:t>ype 2 diabetes (T2D) in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patients</w:t>
      </w:r>
      <w:r w:rsidR="006312C6">
        <w:rPr>
          <w:rFonts w:ascii="Arial" w:hAnsi="Arial" w:cs="Arial"/>
          <w:sz w:val="20"/>
          <w:szCs w:val="20"/>
          <w:lang w:val="en-US"/>
        </w:rPr>
        <w:t xml:space="preserve"> admitted for coronary angiography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. </w:t>
      </w:r>
      <w:r w:rsidR="006312C6">
        <w:rPr>
          <w:rFonts w:ascii="Arial" w:hAnsi="Arial" w:cs="Arial"/>
          <w:sz w:val="20"/>
          <w:szCs w:val="20"/>
          <w:lang w:val="en-US"/>
        </w:rPr>
        <w:t xml:space="preserve">In the associated article, we show an association of sUmod with T2D in men, but not in women in the population-based KORA F4 study. 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Here, we analyzed the association of </w:t>
      </w:r>
      <w:r w:rsidR="00C340D3">
        <w:rPr>
          <w:rFonts w:ascii="Arial" w:hAnsi="Arial" w:cs="Arial"/>
          <w:sz w:val="20"/>
          <w:szCs w:val="20"/>
          <w:lang w:val="en-US"/>
        </w:rPr>
        <w:t>sUmod</w:t>
      </w:r>
      <w:r w:rsidR="00C340D3" w:rsidRPr="00CE3EE1">
        <w:rPr>
          <w:rFonts w:ascii="Arial" w:hAnsi="Arial" w:cs="Arial"/>
          <w:sz w:val="20"/>
          <w:szCs w:val="20"/>
          <w:lang w:val="en-US"/>
        </w:rPr>
        <w:t xml:space="preserve"> 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with parameters of glucose regulation. </w:t>
      </w:r>
    </w:p>
    <w:p w:rsidR="00BD5812" w:rsidRDefault="00C94949" w:rsidP="00A023AA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94949">
        <w:rPr>
          <w:rFonts w:ascii="Arial" w:hAnsi="Arial" w:cs="Arial"/>
          <w:b/>
          <w:sz w:val="20"/>
          <w:szCs w:val="20"/>
          <w:lang w:val="en-US"/>
        </w:rPr>
        <w:t>Methods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="00F94806" w:rsidRPr="00F94806">
        <w:rPr>
          <w:rFonts w:ascii="Arial" w:hAnsi="Arial" w:cs="Arial"/>
          <w:sz w:val="20"/>
          <w:szCs w:val="20"/>
          <w:lang w:val="en-US"/>
        </w:rPr>
        <w:t>In 1119 participants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of the KORA </w:t>
      </w:r>
      <w:proofErr w:type="gramStart"/>
      <w:r w:rsidR="00F94806" w:rsidRPr="00CE3EE1">
        <w:rPr>
          <w:rFonts w:ascii="Arial" w:hAnsi="Arial" w:cs="Arial"/>
          <w:sz w:val="20"/>
          <w:szCs w:val="20"/>
          <w:lang w:val="en-US"/>
        </w:rPr>
        <w:t>F4</w:t>
      </w:r>
      <w:proofErr w:type="gramEnd"/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study aged 62 - 81 years, </w:t>
      </w:r>
      <w:r w:rsidR="00C340D3">
        <w:rPr>
          <w:rFonts w:ascii="Arial" w:hAnsi="Arial" w:cs="Arial"/>
          <w:sz w:val="20"/>
          <w:szCs w:val="20"/>
          <w:lang w:val="en-US"/>
        </w:rPr>
        <w:t>sUmod</w:t>
      </w:r>
      <w:r w:rsidR="00C340D3" w:rsidRPr="00CE3EE1">
        <w:rPr>
          <w:rFonts w:ascii="Arial" w:hAnsi="Arial" w:cs="Arial"/>
          <w:sz w:val="20"/>
          <w:szCs w:val="20"/>
          <w:lang w:val="en-US"/>
        </w:rPr>
        <w:t xml:space="preserve"> 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was measured. The association of </w:t>
      </w:r>
      <w:r w:rsidR="00C340D3">
        <w:rPr>
          <w:rFonts w:ascii="Arial" w:hAnsi="Arial" w:cs="Arial"/>
          <w:sz w:val="20"/>
          <w:szCs w:val="20"/>
          <w:lang w:val="en-US"/>
        </w:rPr>
        <w:t>sUmod</w:t>
      </w:r>
      <w:r w:rsidR="00C340D3" w:rsidRPr="00CE3EE1">
        <w:rPr>
          <w:rFonts w:ascii="Arial" w:hAnsi="Arial" w:cs="Arial"/>
          <w:sz w:val="20"/>
          <w:szCs w:val="20"/>
          <w:lang w:val="en-US"/>
        </w:rPr>
        <w:t xml:space="preserve"> 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with HbA1c values, fasting glucose, fasting insulin, fasting proinsulin and HOMA-IR was assessed using logistic and linear regression models </w:t>
      </w:r>
      <w:r w:rsidR="00F94806" w:rsidRPr="00C340D3">
        <w:rPr>
          <w:rFonts w:ascii="Arial" w:hAnsi="Arial" w:cs="Arial"/>
          <w:sz w:val="20"/>
          <w:szCs w:val="20"/>
          <w:lang w:val="en-US"/>
        </w:rPr>
        <w:t>stratified for sex.</w:t>
      </w:r>
      <w:r w:rsidR="006312C6">
        <w:rPr>
          <w:rFonts w:ascii="Arial" w:hAnsi="Arial" w:cs="Arial"/>
          <w:sz w:val="20"/>
          <w:szCs w:val="20"/>
          <w:lang w:val="en-US"/>
        </w:rPr>
        <w:t xml:space="preserve"> Correction for confounders </w:t>
      </w:r>
      <w:proofErr w:type="gramStart"/>
      <w:r w:rsidR="006312C6">
        <w:rPr>
          <w:rFonts w:ascii="Arial" w:hAnsi="Arial" w:cs="Arial"/>
          <w:sz w:val="20"/>
          <w:szCs w:val="20"/>
          <w:lang w:val="en-US"/>
        </w:rPr>
        <w:t>was performed</w:t>
      </w:r>
      <w:proofErr w:type="gramEnd"/>
      <w:r w:rsidR="006312C6">
        <w:rPr>
          <w:rFonts w:ascii="Arial" w:hAnsi="Arial" w:cs="Arial"/>
          <w:sz w:val="20"/>
          <w:szCs w:val="20"/>
          <w:lang w:val="en-US"/>
        </w:rPr>
        <w:t xml:space="preserve"> in multinomial models as indicated in the tables.</w:t>
      </w:r>
      <w:r w:rsidR="00F94806" w:rsidRPr="00C340D3">
        <w:rPr>
          <w:rFonts w:ascii="Arial" w:hAnsi="Arial" w:cs="Arial"/>
          <w:sz w:val="20"/>
          <w:szCs w:val="20"/>
          <w:lang w:val="en-US"/>
        </w:rPr>
        <w:t xml:space="preserve"> Participants with missing covariables </w:t>
      </w:r>
      <w:proofErr w:type="gramStart"/>
      <w:r w:rsidR="00F94806" w:rsidRPr="00C340D3">
        <w:rPr>
          <w:rFonts w:ascii="Arial" w:hAnsi="Arial" w:cs="Arial"/>
          <w:sz w:val="20"/>
          <w:szCs w:val="20"/>
          <w:lang w:val="en-US"/>
        </w:rPr>
        <w:t>were excluded</w:t>
      </w:r>
      <w:proofErr w:type="gramEnd"/>
      <w:r w:rsidR="00F94806" w:rsidRPr="00C340D3">
        <w:rPr>
          <w:rFonts w:ascii="Arial" w:hAnsi="Arial" w:cs="Arial"/>
          <w:sz w:val="20"/>
          <w:szCs w:val="20"/>
          <w:lang w:val="en-US"/>
        </w:rPr>
        <w:t xml:space="preserve"> f</w:t>
      </w:r>
      <w:r w:rsidR="00C340D3" w:rsidRPr="00C340D3">
        <w:rPr>
          <w:rFonts w:ascii="Arial" w:hAnsi="Arial" w:cs="Arial"/>
          <w:sz w:val="20"/>
          <w:szCs w:val="20"/>
          <w:lang w:val="en-US"/>
        </w:rPr>
        <w:t>rom the respective analyses. T</w:t>
      </w:r>
      <w:r w:rsidR="00F94806" w:rsidRPr="00C340D3">
        <w:rPr>
          <w:rFonts w:ascii="Arial" w:hAnsi="Arial" w:cs="Arial"/>
          <w:sz w:val="20"/>
          <w:szCs w:val="20"/>
          <w:lang w:val="en-US"/>
        </w:rPr>
        <w:t>he final number</w:t>
      </w:r>
      <w:r w:rsidR="00C340D3" w:rsidRPr="00C340D3">
        <w:rPr>
          <w:rFonts w:ascii="Arial" w:hAnsi="Arial" w:cs="Arial"/>
          <w:sz w:val="20"/>
          <w:szCs w:val="20"/>
          <w:lang w:val="en-US"/>
        </w:rPr>
        <w:t>s</w:t>
      </w:r>
      <w:r w:rsidR="00F94806" w:rsidRPr="00C340D3">
        <w:rPr>
          <w:rFonts w:ascii="Arial" w:hAnsi="Arial" w:cs="Arial"/>
          <w:sz w:val="20"/>
          <w:szCs w:val="20"/>
          <w:lang w:val="en-US"/>
        </w:rPr>
        <w:t xml:space="preserve"> of participants included in each analysis in the respective fully adjusted model </w:t>
      </w:r>
      <w:proofErr w:type="gramStart"/>
      <w:r w:rsidR="00F94806" w:rsidRPr="00C340D3">
        <w:rPr>
          <w:rFonts w:ascii="Arial" w:hAnsi="Arial" w:cs="Arial"/>
          <w:sz w:val="20"/>
          <w:szCs w:val="20"/>
          <w:lang w:val="en-US"/>
        </w:rPr>
        <w:t>are indicated</w:t>
      </w:r>
      <w:proofErr w:type="gramEnd"/>
      <w:r w:rsidR="00F94806" w:rsidRPr="00C340D3">
        <w:rPr>
          <w:rFonts w:ascii="Arial" w:hAnsi="Arial" w:cs="Arial"/>
          <w:sz w:val="20"/>
          <w:szCs w:val="20"/>
          <w:lang w:val="en-US"/>
        </w:rPr>
        <w:t xml:space="preserve"> in the tables</w:t>
      </w:r>
      <w:r w:rsidR="00C340D3">
        <w:rPr>
          <w:rFonts w:ascii="Arial" w:hAnsi="Arial" w:cs="Arial"/>
          <w:sz w:val="20"/>
          <w:szCs w:val="20"/>
          <w:lang w:val="en-US"/>
        </w:rPr>
        <w:t xml:space="preserve"> or table captions, respectively</w:t>
      </w:r>
      <w:r w:rsidR="00F94806" w:rsidRPr="00C340D3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94806" w:rsidRPr="00CE3EE1" w:rsidRDefault="00BD5812" w:rsidP="00A023AA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D5812">
        <w:rPr>
          <w:rFonts w:ascii="Arial" w:hAnsi="Arial" w:cs="Arial"/>
          <w:b/>
          <w:sz w:val="20"/>
          <w:szCs w:val="20"/>
          <w:lang w:val="en-US"/>
        </w:rPr>
        <w:t>Results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="00C340D3" w:rsidRPr="00C340D3">
        <w:rPr>
          <w:rFonts w:ascii="Arial" w:hAnsi="Arial" w:cs="Arial"/>
          <w:sz w:val="20"/>
          <w:szCs w:val="20"/>
          <w:lang w:val="en-US"/>
        </w:rPr>
        <w:t xml:space="preserve">SUmod </w:t>
      </w:r>
      <w:r w:rsidR="00F94806" w:rsidRPr="00C340D3">
        <w:rPr>
          <w:rFonts w:ascii="Arial" w:hAnsi="Arial" w:cs="Arial"/>
          <w:sz w:val="20"/>
          <w:szCs w:val="20"/>
          <w:lang w:val="en-US"/>
        </w:rPr>
        <w:t xml:space="preserve">was inversely associated with HbA1c values in the diabetic range (≥ 48 </w:t>
      </w:r>
      <w:proofErr w:type="spellStart"/>
      <w:r w:rsidR="00F94806" w:rsidRPr="00C340D3">
        <w:rPr>
          <w:rFonts w:ascii="Arial" w:hAnsi="Arial" w:cs="Arial"/>
          <w:sz w:val="20"/>
          <w:szCs w:val="20"/>
          <w:lang w:val="en-US"/>
        </w:rPr>
        <w:t>mmol</w:t>
      </w:r>
      <w:proofErr w:type="spellEnd"/>
      <w:r w:rsidR="00F94806" w:rsidRPr="00C340D3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F94806" w:rsidRPr="00C340D3">
        <w:rPr>
          <w:rFonts w:ascii="Arial" w:hAnsi="Arial" w:cs="Arial"/>
          <w:sz w:val="20"/>
          <w:szCs w:val="20"/>
          <w:lang w:val="en-US"/>
        </w:rPr>
        <w:t>mol</w:t>
      </w:r>
      <w:proofErr w:type="spellEnd"/>
      <w:r w:rsidR="00F94806" w:rsidRPr="00C340D3">
        <w:rPr>
          <w:rFonts w:ascii="Arial" w:hAnsi="Arial" w:cs="Arial"/>
          <w:sz w:val="20"/>
          <w:szCs w:val="20"/>
          <w:lang w:val="en-US"/>
        </w:rPr>
        <w:t xml:space="preserve"> (6.5%)) in the total cohort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and in men after adjustment for age, BMI and eGFR. In women, the inverse relation of </w:t>
      </w:r>
      <w:r w:rsidR="00C340D3">
        <w:rPr>
          <w:rFonts w:ascii="Arial" w:hAnsi="Arial" w:cs="Arial"/>
          <w:sz w:val="20"/>
          <w:szCs w:val="20"/>
          <w:lang w:val="en-US"/>
        </w:rPr>
        <w:t>sUmod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and HbA1c values ≥ 48 </w:t>
      </w:r>
      <w:proofErr w:type="spellStart"/>
      <w:r w:rsidR="00F94806" w:rsidRPr="00CE3EE1">
        <w:rPr>
          <w:rFonts w:ascii="Arial" w:hAnsi="Arial" w:cs="Arial"/>
          <w:sz w:val="20"/>
          <w:szCs w:val="20"/>
          <w:lang w:val="en-US"/>
        </w:rPr>
        <w:t>mmol</w:t>
      </w:r>
      <w:proofErr w:type="spellEnd"/>
      <w:r w:rsidR="00F94806" w:rsidRPr="00CE3EE1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F94806" w:rsidRPr="00CE3EE1">
        <w:rPr>
          <w:rFonts w:ascii="Arial" w:hAnsi="Arial" w:cs="Arial"/>
          <w:sz w:val="20"/>
          <w:szCs w:val="20"/>
          <w:lang w:val="en-US"/>
        </w:rPr>
        <w:t>mol</w:t>
      </w:r>
      <w:proofErr w:type="spellEnd"/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(6.5%) was no longer significant after adjustment for age and </w:t>
      </w:r>
      <w:r w:rsidR="00F94806" w:rsidRPr="00F94806">
        <w:rPr>
          <w:rFonts w:ascii="Arial" w:hAnsi="Arial" w:cs="Arial"/>
          <w:sz w:val="20"/>
          <w:szCs w:val="20"/>
          <w:lang w:val="en-US"/>
        </w:rPr>
        <w:t>BMI (table 1). The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relation of </w:t>
      </w:r>
      <w:r w:rsidR="00C340D3">
        <w:rPr>
          <w:rFonts w:ascii="Arial" w:hAnsi="Arial" w:cs="Arial"/>
          <w:sz w:val="20"/>
          <w:szCs w:val="20"/>
          <w:lang w:val="en-US"/>
        </w:rPr>
        <w:t>sUmod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with moderately elevated HbA1c levels in the prediabetic range (39 – 46 </w:t>
      </w:r>
      <w:proofErr w:type="spellStart"/>
      <w:r w:rsidR="00F94806" w:rsidRPr="00CE3EE1">
        <w:rPr>
          <w:rFonts w:ascii="Arial" w:hAnsi="Arial" w:cs="Arial"/>
          <w:sz w:val="20"/>
          <w:szCs w:val="20"/>
          <w:lang w:val="en-US"/>
        </w:rPr>
        <w:t>mmol</w:t>
      </w:r>
      <w:proofErr w:type="spellEnd"/>
      <w:r w:rsidR="00F94806" w:rsidRPr="00CE3EE1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F94806" w:rsidRPr="00CE3EE1">
        <w:rPr>
          <w:rFonts w:ascii="Arial" w:hAnsi="Arial" w:cs="Arial"/>
          <w:sz w:val="20"/>
          <w:szCs w:val="20"/>
          <w:lang w:val="en-US"/>
        </w:rPr>
        <w:t>mol</w:t>
      </w:r>
      <w:proofErr w:type="spellEnd"/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(5.7 - 6.4 %)) was not significant in women and no longer significant in the total study cohort and in men after adjustment for age and BMI. </w:t>
      </w:r>
      <w:r w:rsidR="00C340D3">
        <w:rPr>
          <w:rFonts w:ascii="Arial" w:hAnsi="Arial" w:cs="Arial"/>
          <w:sz w:val="20"/>
          <w:szCs w:val="20"/>
          <w:lang w:val="en-US"/>
        </w:rPr>
        <w:t>SUmod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was associated with a lower fasting glucose and a lower insulin resistance as determined by HOMA-IR. In women, the association with HOMA-IR </w:t>
      </w:r>
      <w:proofErr w:type="gramStart"/>
      <w:r w:rsidR="00F94806" w:rsidRPr="00CE3EE1">
        <w:rPr>
          <w:rFonts w:ascii="Arial" w:hAnsi="Arial" w:cs="Arial"/>
          <w:sz w:val="20"/>
          <w:szCs w:val="20"/>
          <w:lang w:val="en-US"/>
        </w:rPr>
        <w:t>was attenuated</w:t>
      </w:r>
      <w:proofErr w:type="gramEnd"/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to non-significance after adjustment for age and BMI. After adjustment for age, BMI and eGFR, fasting insulin was weakly, but significantly inversely associated with </w:t>
      </w:r>
      <w:r w:rsidR="00C340D3">
        <w:rPr>
          <w:rFonts w:ascii="Arial" w:hAnsi="Arial" w:cs="Arial"/>
          <w:sz w:val="20"/>
          <w:szCs w:val="20"/>
          <w:lang w:val="en-US"/>
        </w:rPr>
        <w:t>sUmod</w:t>
      </w:r>
      <w:r w:rsidR="00C340D3" w:rsidRPr="00CE3EE1">
        <w:rPr>
          <w:rFonts w:ascii="Arial" w:hAnsi="Arial" w:cs="Arial"/>
          <w:sz w:val="20"/>
          <w:szCs w:val="20"/>
          <w:lang w:val="en-US"/>
        </w:rPr>
        <w:t xml:space="preserve"> 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in men, but not in women, whereas a relation of proinsulin with </w:t>
      </w:r>
      <w:r w:rsidR="00C340D3">
        <w:rPr>
          <w:rFonts w:ascii="Arial" w:hAnsi="Arial" w:cs="Arial"/>
          <w:sz w:val="20"/>
          <w:szCs w:val="20"/>
          <w:lang w:val="en-US"/>
        </w:rPr>
        <w:t>sUmod</w:t>
      </w:r>
      <w:r w:rsidR="00C340D3" w:rsidRPr="00CE3EE1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F94806" w:rsidRPr="00CE3EE1">
        <w:rPr>
          <w:rFonts w:ascii="Arial" w:hAnsi="Arial" w:cs="Arial"/>
          <w:sz w:val="20"/>
          <w:szCs w:val="20"/>
          <w:lang w:val="en-US"/>
        </w:rPr>
        <w:t>could not be established</w:t>
      </w:r>
      <w:proofErr w:type="gramEnd"/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after correction for age, sex, BMI and </w:t>
      </w:r>
      <w:r w:rsidR="00F94806" w:rsidRPr="00F94806">
        <w:rPr>
          <w:rFonts w:ascii="Arial" w:hAnsi="Arial" w:cs="Arial"/>
          <w:sz w:val="20"/>
          <w:szCs w:val="20"/>
          <w:lang w:val="en-US"/>
        </w:rPr>
        <w:t>eGFR (table 2). Table 3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displays the characteristics of</w:t>
      </w:r>
      <w:r w:rsidR="00633CFC">
        <w:rPr>
          <w:rFonts w:ascii="Arial" w:hAnsi="Arial" w:cs="Arial"/>
          <w:sz w:val="20"/>
          <w:szCs w:val="20"/>
          <w:lang w:val="en-US"/>
        </w:rPr>
        <w:t xml:space="preserve"> the study participants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included in the follow-up analysis of th</w:t>
      </w:r>
      <w:r w:rsidR="00B34348">
        <w:rPr>
          <w:rFonts w:ascii="Arial" w:hAnsi="Arial" w:cs="Arial"/>
          <w:sz w:val="20"/>
          <w:szCs w:val="20"/>
          <w:lang w:val="en-US"/>
        </w:rPr>
        <w:t>e KORA F4 study (KORA FF4 study with a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mean follow-up time</w:t>
      </w:r>
      <w:r w:rsidR="00B34348">
        <w:rPr>
          <w:rFonts w:ascii="Arial" w:hAnsi="Arial" w:cs="Arial"/>
          <w:sz w:val="20"/>
          <w:szCs w:val="20"/>
          <w:lang w:val="en-US"/>
        </w:rPr>
        <w:t xml:space="preserve"> of</w:t>
      </w:r>
      <w:r w:rsidR="00F94806" w:rsidRPr="00CE3EE1">
        <w:rPr>
          <w:rFonts w:ascii="Arial" w:hAnsi="Arial" w:cs="Arial"/>
          <w:sz w:val="20"/>
          <w:szCs w:val="20"/>
          <w:lang w:val="en-US"/>
        </w:rPr>
        <w:t xml:space="preserve"> 6.5 ± 0.3 years).</w:t>
      </w:r>
    </w:p>
    <w:p w:rsidR="00CF1AA2" w:rsidRDefault="00263454" w:rsidP="00CF1AA2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94806">
        <w:rPr>
          <w:rFonts w:ascii="Arial" w:hAnsi="Arial" w:cs="Arial"/>
          <w:b/>
          <w:sz w:val="20"/>
          <w:szCs w:val="20"/>
          <w:lang w:val="en-US"/>
        </w:rPr>
        <w:lastRenderedPageBreak/>
        <w:t>T</w:t>
      </w:r>
      <w:r w:rsidR="00CF1AA2" w:rsidRPr="00F94806">
        <w:rPr>
          <w:rFonts w:ascii="Arial" w:hAnsi="Arial" w:cs="Arial"/>
          <w:b/>
          <w:sz w:val="20"/>
          <w:szCs w:val="20"/>
          <w:lang w:val="en-US"/>
        </w:rPr>
        <w:t xml:space="preserve">able </w:t>
      </w:r>
      <w:proofErr w:type="gramStart"/>
      <w:r w:rsidR="00CF1AA2" w:rsidRPr="00F94806">
        <w:rPr>
          <w:rFonts w:ascii="Arial" w:hAnsi="Arial" w:cs="Arial"/>
          <w:b/>
          <w:sz w:val="20"/>
          <w:szCs w:val="20"/>
          <w:lang w:val="en-US"/>
        </w:rPr>
        <w:t>1</w:t>
      </w:r>
      <w:proofErr w:type="gramEnd"/>
      <w:r w:rsidR="00CF1AA2" w:rsidRPr="00A76E6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CF1AA2" w:rsidRPr="00A76E60">
        <w:rPr>
          <w:rFonts w:ascii="Arial" w:hAnsi="Arial" w:cs="Arial"/>
          <w:sz w:val="20"/>
          <w:szCs w:val="20"/>
          <w:lang w:val="en-US"/>
        </w:rPr>
        <w:t xml:space="preserve">Relation of sUmod and categories of HbA1c. Adjusted ORs (95% CI) for categories of HbA1c (&lt; 39 </w:t>
      </w:r>
      <w:proofErr w:type="spellStart"/>
      <w:r w:rsidR="00CF1AA2" w:rsidRPr="00A76E60">
        <w:rPr>
          <w:rFonts w:ascii="Arial" w:hAnsi="Arial" w:cs="Arial"/>
          <w:sz w:val="20"/>
          <w:szCs w:val="20"/>
          <w:lang w:val="en-US"/>
        </w:rPr>
        <w:t>mmol</w:t>
      </w:r>
      <w:proofErr w:type="spellEnd"/>
      <w:r w:rsidR="00CF1AA2" w:rsidRPr="00A76E60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CF1AA2" w:rsidRPr="00A76E60">
        <w:rPr>
          <w:rFonts w:ascii="Arial" w:hAnsi="Arial" w:cs="Arial"/>
          <w:sz w:val="20"/>
          <w:szCs w:val="20"/>
          <w:lang w:val="en-US"/>
        </w:rPr>
        <w:t>mol</w:t>
      </w:r>
      <w:proofErr w:type="spellEnd"/>
      <w:r w:rsidR="00CF1AA2" w:rsidRPr="00A76E60">
        <w:rPr>
          <w:rFonts w:ascii="Arial" w:hAnsi="Arial" w:cs="Arial"/>
          <w:sz w:val="20"/>
          <w:szCs w:val="20"/>
          <w:lang w:val="en-US"/>
        </w:rPr>
        <w:t xml:space="preserve"> (5.7</w:t>
      </w:r>
      <w:r w:rsidR="005E3429">
        <w:rPr>
          <w:rFonts w:ascii="Arial" w:hAnsi="Arial" w:cs="Arial"/>
          <w:sz w:val="20"/>
          <w:szCs w:val="20"/>
          <w:lang w:val="en-US"/>
        </w:rPr>
        <w:t xml:space="preserve"> %) as reference, ≥ 39 </w:t>
      </w:r>
      <w:proofErr w:type="spellStart"/>
      <w:r w:rsidR="005E3429">
        <w:rPr>
          <w:rFonts w:ascii="Arial" w:hAnsi="Arial" w:cs="Arial"/>
          <w:sz w:val="20"/>
          <w:szCs w:val="20"/>
          <w:lang w:val="en-US"/>
        </w:rPr>
        <w:t>mmol</w:t>
      </w:r>
      <w:proofErr w:type="spellEnd"/>
      <w:r w:rsidR="005E3429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5E3429">
        <w:rPr>
          <w:rFonts w:ascii="Arial" w:hAnsi="Arial" w:cs="Arial"/>
          <w:sz w:val="20"/>
          <w:szCs w:val="20"/>
          <w:lang w:val="en-US"/>
        </w:rPr>
        <w:t>mol</w:t>
      </w:r>
      <w:proofErr w:type="spellEnd"/>
      <w:r w:rsidR="005E3429">
        <w:rPr>
          <w:rFonts w:ascii="Arial" w:hAnsi="Arial" w:cs="Arial"/>
          <w:sz w:val="20"/>
          <w:szCs w:val="20"/>
          <w:lang w:val="en-US"/>
        </w:rPr>
        <w:t xml:space="preserve"> and</w:t>
      </w:r>
      <w:r w:rsidR="00CF1AA2" w:rsidRPr="00A76E60">
        <w:rPr>
          <w:rFonts w:ascii="Arial" w:hAnsi="Arial" w:cs="Arial"/>
          <w:sz w:val="20"/>
          <w:szCs w:val="20"/>
          <w:lang w:val="en-US"/>
        </w:rPr>
        <w:t xml:space="preserve"> &lt; 48 </w:t>
      </w:r>
      <w:proofErr w:type="spellStart"/>
      <w:r w:rsidR="00CF1AA2" w:rsidRPr="00A76E60">
        <w:rPr>
          <w:rFonts w:ascii="Arial" w:hAnsi="Arial" w:cs="Arial"/>
          <w:sz w:val="20"/>
          <w:szCs w:val="20"/>
          <w:lang w:val="en-US"/>
        </w:rPr>
        <w:t>mmol</w:t>
      </w:r>
      <w:proofErr w:type="spellEnd"/>
      <w:r w:rsidR="00CF1AA2" w:rsidRPr="00A76E60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CF1AA2" w:rsidRPr="00A76E60">
        <w:rPr>
          <w:rFonts w:ascii="Arial" w:hAnsi="Arial" w:cs="Arial"/>
          <w:sz w:val="20"/>
          <w:szCs w:val="20"/>
          <w:lang w:val="en-US"/>
        </w:rPr>
        <w:t>mol</w:t>
      </w:r>
      <w:proofErr w:type="spellEnd"/>
      <w:r w:rsidR="00CF1AA2" w:rsidRPr="00A76E60">
        <w:rPr>
          <w:rFonts w:ascii="Arial" w:hAnsi="Arial" w:cs="Arial"/>
          <w:sz w:val="20"/>
          <w:szCs w:val="20"/>
          <w:lang w:val="en-US"/>
        </w:rPr>
        <w:t xml:space="preserve"> (6.5 %) </w:t>
      </w:r>
      <w:proofErr w:type="gramStart"/>
      <w:r w:rsidR="00CF1AA2" w:rsidRPr="00A76E60">
        <w:rPr>
          <w:rFonts w:ascii="Arial" w:hAnsi="Arial" w:cs="Arial"/>
          <w:sz w:val="20"/>
          <w:szCs w:val="20"/>
          <w:lang w:val="en-US"/>
        </w:rPr>
        <w:t xml:space="preserve">(prediabetes), ≥ 48 </w:t>
      </w:r>
      <w:proofErr w:type="spellStart"/>
      <w:r w:rsidR="00CF1AA2" w:rsidRPr="00A76E60">
        <w:rPr>
          <w:rFonts w:ascii="Arial" w:hAnsi="Arial" w:cs="Arial"/>
          <w:sz w:val="20"/>
          <w:szCs w:val="20"/>
          <w:lang w:val="en-US"/>
        </w:rPr>
        <w:t>mmol</w:t>
      </w:r>
      <w:proofErr w:type="spellEnd"/>
      <w:r w:rsidR="00CF1AA2" w:rsidRPr="00A76E60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CF1AA2" w:rsidRPr="00A76E60">
        <w:rPr>
          <w:rFonts w:ascii="Arial" w:hAnsi="Arial" w:cs="Arial"/>
          <w:sz w:val="20"/>
          <w:szCs w:val="20"/>
          <w:lang w:val="en-US"/>
        </w:rPr>
        <w:t>mol</w:t>
      </w:r>
      <w:proofErr w:type="spellEnd"/>
      <w:r w:rsidR="00CF1AA2" w:rsidRPr="00A76E60">
        <w:rPr>
          <w:rFonts w:ascii="Arial" w:hAnsi="Arial" w:cs="Arial"/>
          <w:sz w:val="20"/>
          <w:szCs w:val="20"/>
          <w:lang w:val="en-US"/>
        </w:rPr>
        <w:t xml:space="preserve"> (T2D)) as dependent variable and sUmod as independent variable (per standard deviation): Results of multinomial logistic regression models; n</w:t>
      </w:r>
      <w:r w:rsidR="00B23C11">
        <w:rPr>
          <w:rFonts w:ascii="Arial" w:hAnsi="Arial" w:cs="Arial"/>
          <w:sz w:val="20"/>
          <w:szCs w:val="20"/>
          <w:lang w:val="en-US"/>
        </w:rPr>
        <w:t xml:space="preserve"> </w:t>
      </w:r>
      <w:r w:rsidR="00CF1AA2" w:rsidRPr="00A76E60">
        <w:rPr>
          <w:rFonts w:ascii="Arial" w:hAnsi="Arial" w:cs="Arial"/>
          <w:sz w:val="20"/>
          <w:szCs w:val="20"/>
          <w:lang w:val="en-US"/>
        </w:rPr>
        <w:t>(</w:t>
      </w:r>
      <w:r w:rsidR="00147B8D" w:rsidRPr="00B23C11">
        <w:rPr>
          <w:rFonts w:ascii="Arial" w:hAnsi="Arial" w:cs="Arial"/>
          <w:color w:val="000000" w:themeColor="text1"/>
          <w:sz w:val="20"/>
          <w:szCs w:val="20"/>
          <w:lang w:val="en-US"/>
        </w:rPr>
        <w:t>in the fully adjusted model</w:t>
      </w:r>
      <w:r w:rsidR="00147B8D">
        <w:rPr>
          <w:rFonts w:ascii="Arial" w:hAnsi="Arial" w:cs="Arial"/>
          <w:color w:val="000000" w:themeColor="text1"/>
          <w:sz w:val="20"/>
          <w:szCs w:val="20"/>
          <w:lang w:val="en-US"/>
        </w:rPr>
        <w:t>:</w:t>
      </w:r>
      <w:r w:rsidR="00147B8D" w:rsidRPr="00A76E60">
        <w:rPr>
          <w:rFonts w:ascii="Arial" w:hAnsi="Arial" w:cs="Arial"/>
          <w:sz w:val="20"/>
          <w:szCs w:val="20"/>
          <w:lang w:val="en-US"/>
        </w:rPr>
        <w:t xml:space="preserve"> </w:t>
      </w:r>
      <w:r w:rsidR="00CF1AA2" w:rsidRPr="00A76E60">
        <w:rPr>
          <w:rFonts w:ascii="Arial" w:hAnsi="Arial" w:cs="Arial"/>
          <w:sz w:val="20"/>
          <w:szCs w:val="20"/>
          <w:lang w:val="en-US"/>
        </w:rPr>
        <w:t>total cohort; men; women) = 1004; 500; 504 for the analysis of HbA1c in the prediabetic range (prediabetic range yes: 427; 208; 219); n</w:t>
      </w:r>
      <w:r w:rsidR="00B23C11">
        <w:rPr>
          <w:rFonts w:ascii="Arial" w:hAnsi="Arial" w:cs="Arial"/>
          <w:sz w:val="20"/>
          <w:szCs w:val="20"/>
          <w:lang w:val="en-US"/>
        </w:rPr>
        <w:t xml:space="preserve"> </w:t>
      </w:r>
      <w:r w:rsidR="00CF1AA2" w:rsidRPr="00A76E60">
        <w:rPr>
          <w:rFonts w:ascii="Arial" w:hAnsi="Arial" w:cs="Arial"/>
          <w:sz w:val="20"/>
          <w:szCs w:val="20"/>
          <w:lang w:val="en-US"/>
        </w:rPr>
        <w:t>(</w:t>
      </w:r>
      <w:r w:rsidR="00147B8D" w:rsidRPr="00B23C11">
        <w:rPr>
          <w:rFonts w:ascii="Arial" w:hAnsi="Arial" w:cs="Arial"/>
          <w:color w:val="000000" w:themeColor="text1"/>
          <w:sz w:val="20"/>
          <w:szCs w:val="20"/>
          <w:lang w:val="en-US"/>
        </w:rPr>
        <w:t>in the fully adjusted model</w:t>
      </w:r>
      <w:r w:rsidR="00147B8D">
        <w:rPr>
          <w:rFonts w:ascii="Arial" w:hAnsi="Arial" w:cs="Arial"/>
          <w:color w:val="000000" w:themeColor="text1"/>
          <w:sz w:val="20"/>
          <w:szCs w:val="20"/>
          <w:lang w:val="en-US"/>
        </w:rPr>
        <w:t>:</w:t>
      </w:r>
      <w:r w:rsidR="00147B8D" w:rsidRPr="00B23C11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CF1AA2" w:rsidRPr="00A76E60">
        <w:rPr>
          <w:rFonts w:ascii="Arial" w:hAnsi="Arial" w:cs="Arial"/>
          <w:sz w:val="20"/>
          <w:szCs w:val="20"/>
          <w:lang w:val="en-US"/>
        </w:rPr>
        <w:t>total cohort; men; women) = 684; 357; 327 for the analysis of HbA1c in the diabetic range (diabetic range yes: 109; 66; 43)</w:t>
      </w:r>
      <w:proofErr w:type="gramEnd"/>
    </w:p>
    <w:p w:rsidR="007D2444" w:rsidRPr="00A76E60" w:rsidRDefault="007D2444" w:rsidP="00CF1AA2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7388" w:type="dxa"/>
        <w:tblInd w:w="-1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8"/>
        <w:gridCol w:w="3041"/>
        <w:gridCol w:w="2899"/>
      </w:tblGrid>
      <w:tr w:rsidR="00CF1AA2" w:rsidRPr="00A76E60" w:rsidTr="0046348A">
        <w:trPr>
          <w:trHeight w:val="67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HbA1c ≥ 39 </w:t>
            </w:r>
            <w:proofErr w:type="spellStart"/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>mmol</w:t>
            </w:r>
            <w:proofErr w:type="spellEnd"/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>mol</w:t>
            </w:r>
            <w:proofErr w:type="spellEnd"/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(5.7%), </w:t>
            </w:r>
          </w:p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&lt; 48 </w:t>
            </w:r>
            <w:proofErr w:type="spellStart"/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>mmol</w:t>
            </w:r>
            <w:proofErr w:type="spellEnd"/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>mol</w:t>
            </w:r>
            <w:proofErr w:type="spellEnd"/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(6.5%)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6E60">
              <w:rPr>
                <w:rFonts w:ascii="Arial" w:hAnsi="Arial" w:cs="Arial"/>
                <w:b/>
                <w:sz w:val="18"/>
                <w:szCs w:val="18"/>
              </w:rPr>
              <w:t>HbA1c ≥ 48 mmol/</w:t>
            </w:r>
            <w:proofErr w:type="spellStart"/>
            <w:r w:rsidRPr="00A76E60">
              <w:rPr>
                <w:rFonts w:ascii="Arial" w:hAnsi="Arial" w:cs="Arial"/>
                <w:b/>
                <w:sz w:val="18"/>
                <w:szCs w:val="18"/>
              </w:rPr>
              <w:t>mol</w:t>
            </w:r>
            <w:proofErr w:type="spellEnd"/>
            <w:r w:rsidRPr="00A76E60">
              <w:rPr>
                <w:rFonts w:ascii="Arial" w:hAnsi="Arial" w:cs="Arial"/>
                <w:b/>
                <w:sz w:val="18"/>
                <w:szCs w:val="18"/>
              </w:rPr>
              <w:t xml:space="preserve"> (6.5%)</w:t>
            </w:r>
          </w:p>
        </w:tc>
      </w:tr>
      <w:tr w:rsidR="00CF1AA2" w:rsidRPr="00A76E60" w:rsidTr="0046348A">
        <w:trPr>
          <w:trHeight w:val="163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6E60">
              <w:rPr>
                <w:rFonts w:ascii="Arial" w:hAnsi="Arial" w:cs="Arial"/>
                <w:sz w:val="18"/>
                <w:szCs w:val="18"/>
              </w:rPr>
              <w:t>Without</w:t>
            </w:r>
            <w:proofErr w:type="spellEnd"/>
            <w:r w:rsidRPr="00A76E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E60">
              <w:rPr>
                <w:rFonts w:ascii="Arial" w:hAnsi="Arial" w:cs="Arial"/>
                <w:sz w:val="18"/>
                <w:szCs w:val="18"/>
              </w:rPr>
              <w:t>adjustment</w:t>
            </w:r>
            <w:proofErr w:type="spellEnd"/>
          </w:p>
        </w:tc>
      </w:tr>
      <w:tr w:rsidR="00CF1AA2" w:rsidRPr="00A76E60" w:rsidTr="0046348A">
        <w:trPr>
          <w:trHeight w:val="163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spellStart"/>
            <w:r w:rsidRPr="00A76E60">
              <w:rPr>
                <w:rFonts w:ascii="Arial" w:hAnsi="Arial" w:cs="Arial"/>
                <w:sz w:val="18"/>
                <w:szCs w:val="18"/>
              </w:rPr>
              <w:t>cohort</w:t>
            </w:r>
            <w:proofErr w:type="spellEnd"/>
            <w:r w:rsidRPr="00A76E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0.83 (0.73 - 0.95) *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0.5 (0.39 - 0.65) ***</w:t>
            </w:r>
          </w:p>
        </w:tc>
      </w:tr>
      <w:tr w:rsidR="00CF1AA2" w:rsidRPr="00A76E60" w:rsidTr="0046348A">
        <w:trPr>
          <w:trHeight w:val="163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Men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0.73 (0.59 - 0.89) *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0.46 (0.32 - 0.65) ***</w:t>
            </w:r>
          </w:p>
        </w:tc>
      </w:tr>
      <w:tr w:rsidR="00CF1AA2" w:rsidRPr="00A76E60" w:rsidTr="0046348A">
        <w:trPr>
          <w:trHeight w:val="163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Women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0.9 (0.76 - 1.07)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0.58 (0.41 - 0.83) ***</w:t>
            </w:r>
          </w:p>
        </w:tc>
      </w:tr>
      <w:tr w:rsidR="00CF1AA2" w:rsidRPr="0062510F" w:rsidTr="0046348A">
        <w:trPr>
          <w:trHeight w:val="242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Adjustment for age, (sex) and BMI</w:t>
            </w:r>
          </w:p>
        </w:tc>
      </w:tr>
      <w:tr w:rsidR="00CF1AA2" w:rsidRPr="00A76E60" w:rsidTr="0046348A">
        <w:trPr>
          <w:trHeight w:val="27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spellStart"/>
            <w:r w:rsidRPr="00A76E60">
              <w:rPr>
                <w:rFonts w:ascii="Arial" w:hAnsi="Arial" w:cs="Arial"/>
                <w:sz w:val="18"/>
                <w:szCs w:val="18"/>
              </w:rPr>
              <w:t>cohort</w:t>
            </w:r>
            <w:proofErr w:type="spellEnd"/>
            <w:r w:rsidRPr="00A76E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0.93 (0.81 - 1.07)  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0.66 (0.5 - 0.86) **</w:t>
            </w:r>
          </w:p>
        </w:tc>
      </w:tr>
      <w:tr w:rsidR="00CF1AA2" w:rsidRPr="00A76E60" w:rsidTr="0046348A">
        <w:trPr>
          <w:trHeight w:val="2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Men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0.81 (0.65 - 1.00)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0.55 (0.38 - 0.80) **  </w:t>
            </w:r>
          </w:p>
        </w:tc>
      </w:tr>
      <w:tr w:rsidR="00CF1AA2" w:rsidRPr="00A76E60" w:rsidTr="0046348A">
        <w:trPr>
          <w:trHeight w:val="2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Women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1.03 (0.86 - 1.24)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0.81 (0.54 - 1.19)  </w:t>
            </w:r>
          </w:p>
        </w:tc>
      </w:tr>
      <w:tr w:rsidR="00CF1AA2" w:rsidRPr="0062510F" w:rsidTr="0046348A">
        <w:trPr>
          <w:trHeight w:val="254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Adjustment for age, (sex), BMI and eGFR</w:t>
            </w:r>
          </w:p>
        </w:tc>
      </w:tr>
      <w:tr w:rsidR="00CF1AA2" w:rsidRPr="00A76E60" w:rsidTr="0046348A">
        <w:trPr>
          <w:trHeight w:val="27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spellStart"/>
            <w:r w:rsidRPr="00A76E60">
              <w:rPr>
                <w:rFonts w:ascii="Arial" w:hAnsi="Arial" w:cs="Arial"/>
                <w:sz w:val="18"/>
                <w:szCs w:val="18"/>
              </w:rPr>
              <w:t>cohort</w:t>
            </w:r>
            <w:proofErr w:type="spellEnd"/>
            <w:r w:rsidRPr="00A76E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0.94 (0.82 - 1.08)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0.69 (0.52 - 0.92) **</w:t>
            </w:r>
          </w:p>
        </w:tc>
      </w:tr>
      <w:tr w:rsidR="00CF1AA2" w:rsidRPr="00A76E60" w:rsidTr="0046348A">
        <w:trPr>
          <w:trHeight w:val="2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Men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0.82 (0.66 - 1.03)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0.57 (0.38 - 0.85) **</w:t>
            </w:r>
          </w:p>
        </w:tc>
      </w:tr>
      <w:tr w:rsidR="00CF1AA2" w:rsidRPr="00A76E60" w:rsidTr="0046348A">
        <w:trPr>
          <w:trHeight w:val="2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Women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1.04 (0.86 - 1.25)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0.86 (0.57 - 1.29)</w:t>
            </w:r>
          </w:p>
        </w:tc>
      </w:tr>
    </w:tbl>
    <w:p w:rsidR="00CF1AA2" w:rsidRPr="00A76E60" w:rsidRDefault="00CF1AA2" w:rsidP="00CF1AA2">
      <w:pPr>
        <w:spacing w:before="240" w:after="0"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A76E60">
        <w:rPr>
          <w:rFonts w:ascii="Arial" w:hAnsi="Arial" w:cs="Arial"/>
          <w:sz w:val="18"/>
          <w:szCs w:val="18"/>
          <w:lang w:val="en-GB"/>
        </w:rPr>
        <w:t xml:space="preserve">* </w:t>
      </w:r>
      <w:proofErr w:type="gramStart"/>
      <w:r w:rsidRPr="00A76E60">
        <w:rPr>
          <w:rFonts w:ascii="Arial" w:hAnsi="Arial" w:cs="Arial"/>
          <w:sz w:val="18"/>
          <w:szCs w:val="18"/>
          <w:lang w:val="en-GB"/>
        </w:rPr>
        <w:t>p</w:t>
      </w:r>
      <w:proofErr w:type="gramEnd"/>
      <w:r w:rsidRPr="00A76E60">
        <w:rPr>
          <w:rFonts w:ascii="Arial" w:hAnsi="Arial" w:cs="Arial"/>
          <w:sz w:val="18"/>
          <w:szCs w:val="18"/>
          <w:lang w:val="en-GB"/>
        </w:rPr>
        <w:t xml:space="preserve"> &lt; 0.05; ** p &lt; 0.01; *** p &lt; 0.001</w:t>
      </w:r>
    </w:p>
    <w:p w:rsidR="00CF1AA2" w:rsidRPr="00A76E60" w:rsidRDefault="00CF1AA2" w:rsidP="00CF1AA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rPr>
          <w:highlight w:val="yellow"/>
          <w:lang w:val="en-US"/>
        </w:rPr>
      </w:pPr>
    </w:p>
    <w:p w:rsidR="00CF1AA2" w:rsidRPr="00A76E60" w:rsidRDefault="00CF1AA2" w:rsidP="00CF1AA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rPr>
          <w:highlight w:val="yellow"/>
          <w:lang w:val="en-US"/>
        </w:rPr>
      </w:pPr>
    </w:p>
    <w:p w:rsidR="00F94806" w:rsidRDefault="00F94806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br w:type="page"/>
      </w:r>
    </w:p>
    <w:p w:rsidR="007D2444" w:rsidRPr="00FE52B8" w:rsidRDefault="00263454" w:rsidP="00CF1AA2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94806">
        <w:rPr>
          <w:rFonts w:ascii="Arial" w:hAnsi="Arial" w:cs="Arial"/>
          <w:b/>
          <w:sz w:val="20"/>
          <w:szCs w:val="20"/>
          <w:lang w:val="en-US"/>
        </w:rPr>
        <w:lastRenderedPageBreak/>
        <w:t>T</w:t>
      </w:r>
      <w:r w:rsidR="00CF1AA2" w:rsidRPr="00F94806">
        <w:rPr>
          <w:rFonts w:ascii="Arial" w:hAnsi="Arial" w:cs="Arial"/>
          <w:b/>
          <w:sz w:val="20"/>
          <w:szCs w:val="20"/>
          <w:lang w:val="en-US"/>
        </w:rPr>
        <w:t xml:space="preserve">able </w:t>
      </w:r>
      <w:proofErr w:type="gramStart"/>
      <w:r w:rsidR="00CF1AA2" w:rsidRPr="00F94806">
        <w:rPr>
          <w:rFonts w:ascii="Arial" w:hAnsi="Arial" w:cs="Arial"/>
          <w:b/>
          <w:sz w:val="20"/>
          <w:szCs w:val="20"/>
          <w:lang w:val="en-US"/>
        </w:rPr>
        <w:t>2</w:t>
      </w:r>
      <w:proofErr w:type="gramEnd"/>
      <w:r w:rsidR="00CF1AA2" w:rsidRPr="00A76E6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C340D3">
        <w:rPr>
          <w:rFonts w:ascii="Arial" w:hAnsi="Arial" w:cs="Arial"/>
          <w:sz w:val="20"/>
          <w:szCs w:val="20"/>
          <w:lang w:val="en-US"/>
        </w:rPr>
        <w:t>Relation of sUmod</w:t>
      </w:r>
      <w:r w:rsidR="00CF1AA2" w:rsidRPr="00A76E60">
        <w:rPr>
          <w:rFonts w:ascii="Arial" w:hAnsi="Arial" w:cs="Arial"/>
          <w:sz w:val="20"/>
          <w:szCs w:val="20"/>
          <w:lang w:val="en-US"/>
        </w:rPr>
        <w:t xml:space="preserve"> and parameters of glucose homeostasis. β ± standard deviation for fasting serum glucose, insulin, proinsulin and HOMA-IR as dependent variables and sUmod as independent variable: Results of multinomial linear regression models</w:t>
      </w:r>
    </w:p>
    <w:tbl>
      <w:tblPr>
        <w:tblW w:w="9288" w:type="dxa"/>
        <w:tblInd w:w="-1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4"/>
        <w:gridCol w:w="1711"/>
        <w:gridCol w:w="1964"/>
        <w:gridCol w:w="1843"/>
        <w:gridCol w:w="2126"/>
      </w:tblGrid>
      <w:tr w:rsidR="00CF1AA2" w:rsidRPr="00A76E60" w:rsidTr="0046348A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>Fasting glucose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6E60">
              <w:rPr>
                <w:rFonts w:ascii="Arial" w:hAnsi="Arial" w:cs="Arial"/>
                <w:b/>
                <w:sz w:val="18"/>
                <w:szCs w:val="18"/>
              </w:rPr>
              <w:t>Fasting</w:t>
            </w:r>
            <w:proofErr w:type="spellEnd"/>
            <w:r w:rsidRPr="00A76E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76E60">
              <w:rPr>
                <w:rFonts w:ascii="Arial" w:hAnsi="Arial" w:cs="Arial"/>
                <w:b/>
                <w:sz w:val="18"/>
                <w:szCs w:val="18"/>
              </w:rPr>
              <w:t>insulin</w:t>
            </w:r>
            <w:proofErr w:type="spellEnd"/>
            <w:r w:rsidRPr="00A76E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76E6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6E60">
              <w:rPr>
                <w:rFonts w:ascii="Arial" w:hAnsi="Arial" w:cs="Arial"/>
                <w:b/>
                <w:sz w:val="18"/>
                <w:szCs w:val="18"/>
              </w:rPr>
              <w:t>Fasting</w:t>
            </w:r>
            <w:proofErr w:type="spellEnd"/>
            <w:r w:rsidRPr="00A76E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76E60">
              <w:rPr>
                <w:rFonts w:ascii="Arial" w:hAnsi="Arial" w:cs="Arial"/>
                <w:b/>
                <w:sz w:val="18"/>
                <w:szCs w:val="18"/>
              </w:rPr>
              <w:t>proinsulin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6E60">
              <w:rPr>
                <w:rFonts w:ascii="Arial" w:hAnsi="Arial" w:cs="Arial"/>
                <w:b/>
                <w:sz w:val="18"/>
                <w:szCs w:val="18"/>
              </w:rPr>
              <w:t>HOMA-IR</w:t>
            </w:r>
          </w:p>
        </w:tc>
      </w:tr>
      <w:tr w:rsidR="00CF1AA2" w:rsidRPr="00A76E60" w:rsidTr="0046348A">
        <w:trPr>
          <w:trHeight w:val="210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6E60">
              <w:rPr>
                <w:rFonts w:ascii="Arial" w:hAnsi="Arial" w:cs="Arial"/>
                <w:sz w:val="18"/>
                <w:szCs w:val="18"/>
              </w:rPr>
              <w:t>Without</w:t>
            </w:r>
            <w:proofErr w:type="spellEnd"/>
            <w:r w:rsidRPr="00A76E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6E60">
              <w:rPr>
                <w:rFonts w:ascii="Arial" w:hAnsi="Arial" w:cs="Arial"/>
                <w:sz w:val="18"/>
                <w:szCs w:val="18"/>
              </w:rPr>
              <w:t>adjustment</w:t>
            </w:r>
            <w:proofErr w:type="spellEnd"/>
          </w:p>
        </w:tc>
      </w:tr>
      <w:tr w:rsidR="00CF1AA2" w:rsidRPr="00A76E60" w:rsidTr="0046348A">
        <w:trPr>
          <w:trHeight w:val="21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spellStart"/>
            <w:r w:rsidRPr="00A76E60">
              <w:rPr>
                <w:rFonts w:ascii="Arial" w:hAnsi="Arial" w:cs="Arial"/>
                <w:sz w:val="18"/>
                <w:szCs w:val="18"/>
              </w:rPr>
              <w:t>cohort</w:t>
            </w:r>
            <w:proofErr w:type="spellEnd"/>
            <w:r w:rsidRPr="00A76E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-0.205 ± 0.030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-0.146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0.033 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-0.160 ± 0.040 ***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-0.204 ± 0.031 ***  </w:t>
            </w:r>
          </w:p>
        </w:tc>
      </w:tr>
      <w:tr w:rsidR="00CF1AA2" w:rsidRPr="00A76E60" w:rsidTr="0046348A">
        <w:trPr>
          <w:trHeight w:val="21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Men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-0.187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0.050 *** 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-0.168 </w:t>
            </w:r>
            <w:r w:rsidRPr="00A76E60">
              <w:rPr>
                <w:rFonts w:ascii="Arial" w:hAnsi="Arial" w:cs="Arial"/>
                <w:sz w:val="18"/>
                <w:szCs w:val="18"/>
              </w:rPr>
              <w:t xml:space="preserve">± 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0.046 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-0.081</w:t>
            </w:r>
            <w:r w:rsidRPr="00A76E6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0.061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-0.258</w:t>
            </w:r>
            <w:r w:rsidRPr="00A76E6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0.048 ***</w:t>
            </w:r>
          </w:p>
        </w:tc>
      </w:tr>
      <w:tr w:rsidR="00CF1AA2" w:rsidRPr="00A76E60" w:rsidTr="0046348A">
        <w:trPr>
          <w:trHeight w:val="21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Women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-0.183 ± 0.03 *** 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-0.130 ± 0.049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-0.215  ± 0.052 ***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-0.143 ± 0.041 ***</w:t>
            </w:r>
          </w:p>
        </w:tc>
      </w:tr>
      <w:tr w:rsidR="00CF1AA2" w:rsidRPr="0062510F" w:rsidTr="0046348A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Adjustment for age, (sex) and BMI</w:t>
            </w:r>
          </w:p>
        </w:tc>
      </w:tr>
      <w:tr w:rsidR="00CF1AA2" w:rsidRPr="00A76E60" w:rsidTr="0046348A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spellStart"/>
            <w:r w:rsidRPr="00A76E60">
              <w:rPr>
                <w:rFonts w:ascii="Arial" w:hAnsi="Arial" w:cs="Arial"/>
                <w:sz w:val="18"/>
                <w:szCs w:val="18"/>
              </w:rPr>
              <w:t>cohort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-0.126 ± 0.029 ***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-0.064 ± 0.031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-0.054 ± 0.040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-0.100 ± 0.030 ***  </w:t>
            </w:r>
          </w:p>
        </w:tc>
      </w:tr>
      <w:tr w:rsidR="00CF1AA2" w:rsidRPr="00A76E60" w:rsidTr="0046348A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Men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-0.146 ± 0.052 ** 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-0.088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0.041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-0.0140 ± 0.059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-0.154 ± 0.045 ***</w:t>
            </w:r>
          </w:p>
        </w:tc>
      </w:tr>
      <w:tr w:rsidR="00CF1AA2" w:rsidRPr="00A76E60" w:rsidTr="0046348A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Women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-0.109 ± 0.031 *** 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-0.036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0.047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-0.105 ± 0.05 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-0.052 ± 0.039</w:t>
            </w:r>
          </w:p>
        </w:tc>
      </w:tr>
      <w:tr w:rsidR="00CF1AA2" w:rsidRPr="0062510F" w:rsidTr="0046348A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Adjustment for age, (sex), BMI and eGFR</w:t>
            </w:r>
          </w:p>
        </w:tc>
      </w:tr>
      <w:tr w:rsidR="00CF1AA2" w:rsidRPr="00A76E60" w:rsidTr="0046348A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spellStart"/>
            <w:r w:rsidRPr="00A76E60">
              <w:rPr>
                <w:rFonts w:ascii="Arial" w:hAnsi="Arial" w:cs="Arial"/>
                <w:sz w:val="18"/>
                <w:szCs w:val="18"/>
              </w:rPr>
              <w:t>cohort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-0.108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0.030 ***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-0.055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0.032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-0.032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 xml:space="preserve">0.041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-0.086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0.030 **</w:t>
            </w:r>
          </w:p>
        </w:tc>
      </w:tr>
      <w:tr w:rsidR="00CF1AA2" w:rsidRPr="00A76E60" w:rsidTr="0046348A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Men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-0.136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0.053 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-0.088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0.043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0.026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 xml:space="preserve">0.059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-0.143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 xml:space="preserve">0.046 **  </w:t>
            </w:r>
          </w:p>
        </w:tc>
      </w:tr>
      <w:tr w:rsidR="00CF1AA2" w:rsidRPr="00A76E60" w:rsidTr="0046348A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Women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-0.089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0.031 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-0.026 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0.047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-0.096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0.054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1AA2" w:rsidRPr="00A76E60" w:rsidRDefault="00CF1AA2" w:rsidP="0046348A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6E60">
              <w:rPr>
                <w:rFonts w:ascii="Arial" w:hAnsi="Arial" w:cs="Arial"/>
                <w:sz w:val="18"/>
                <w:szCs w:val="18"/>
              </w:rPr>
              <w:t>-0.039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76E60">
              <w:rPr>
                <w:rFonts w:ascii="Arial" w:hAnsi="Arial" w:cs="Arial"/>
                <w:sz w:val="18"/>
                <w:szCs w:val="18"/>
              </w:rPr>
              <w:t>0.040</w:t>
            </w:r>
          </w:p>
        </w:tc>
      </w:tr>
      <w:tr w:rsidR="00B23C11" w:rsidRPr="00A76E60" w:rsidTr="0046348A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C11" w:rsidRPr="00B23C11" w:rsidRDefault="00147B8D" w:rsidP="00147B8D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</w:t>
            </w:r>
            <w:r w:rsidR="00B23C11" w:rsidRPr="00B23C11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 xml:space="preserve"> b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C11" w:rsidRPr="00B23C11" w:rsidRDefault="00B23C11" w:rsidP="00B23C1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B23C11">
              <w:rPr>
                <w:rFonts w:ascii="Arial" w:hAnsi="Arial" w:cs="Arial"/>
                <w:color w:val="000000" w:themeColor="text1"/>
                <w:sz w:val="18"/>
                <w:szCs w:val="18"/>
              </w:rPr>
              <w:t>1097; 559; 538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C11" w:rsidRPr="00B23C11" w:rsidRDefault="00B23C11" w:rsidP="00B23C11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23C1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869; 424; 445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23C11" w:rsidRPr="00B23C11" w:rsidRDefault="00B23C11" w:rsidP="00B23C11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23C1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618; 326; 292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23C11" w:rsidRPr="00B23C11" w:rsidRDefault="00B23C11" w:rsidP="00B23C11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23C1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984; 494; 490</w:t>
            </w:r>
          </w:p>
        </w:tc>
      </w:tr>
    </w:tbl>
    <w:p w:rsidR="00CF1AA2" w:rsidRPr="00A76E60" w:rsidRDefault="00CF1AA2" w:rsidP="00FE5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240" w:after="0" w:line="360" w:lineRule="auto"/>
        <w:rPr>
          <w:rFonts w:ascii="Arial" w:hAnsi="Arial" w:cs="Arial"/>
          <w:sz w:val="18"/>
          <w:szCs w:val="18"/>
          <w:lang w:val="en-US"/>
        </w:rPr>
      </w:pPr>
      <w:proofErr w:type="spellStart"/>
      <w:proofErr w:type="gramStart"/>
      <w:r w:rsidRPr="00A76E60">
        <w:rPr>
          <w:rFonts w:ascii="Arial" w:hAnsi="Arial" w:cs="Arial"/>
          <w:sz w:val="18"/>
          <w:szCs w:val="18"/>
          <w:vertAlign w:val="superscript"/>
          <w:lang w:val="en-US"/>
        </w:rPr>
        <w:t>a</w:t>
      </w:r>
      <w:proofErr w:type="spellEnd"/>
      <w:proofErr w:type="gramEnd"/>
      <w:r w:rsidRPr="00A76E60">
        <w:rPr>
          <w:rFonts w:ascii="Arial" w:hAnsi="Arial" w:cs="Arial"/>
          <w:sz w:val="18"/>
          <w:szCs w:val="18"/>
          <w:lang w:val="en-US"/>
        </w:rPr>
        <w:t xml:space="preserve"> excluding subjects with T2D</w:t>
      </w:r>
    </w:p>
    <w:p w:rsidR="00CF1AA2" w:rsidRPr="00A76E60" w:rsidRDefault="00CF1AA2" w:rsidP="00FE52B8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A76E60">
        <w:rPr>
          <w:rFonts w:ascii="Arial" w:hAnsi="Arial" w:cs="Arial"/>
          <w:sz w:val="18"/>
          <w:szCs w:val="18"/>
          <w:lang w:val="en-GB"/>
        </w:rPr>
        <w:t xml:space="preserve">* </w:t>
      </w:r>
      <w:proofErr w:type="gramStart"/>
      <w:r w:rsidRPr="00A76E60">
        <w:rPr>
          <w:rFonts w:ascii="Arial" w:hAnsi="Arial" w:cs="Arial"/>
          <w:sz w:val="18"/>
          <w:szCs w:val="18"/>
          <w:lang w:val="en-GB"/>
        </w:rPr>
        <w:t>p</w:t>
      </w:r>
      <w:proofErr w:type="gramEnd"/>
      <w:r w:rsidRPr="00A76E60">
        <w:rPr>
          <w:rFonts w:ascii="Arial" w:hAnsi="Arial" w:cs="Arial"/>
          <w:sz w:val="18"/>
          <w:szCs w:val="18"/>
          <w:lang w:val="en-GB"/>
        </w:rPr>
        <w:t xml:space="preserve"> &lt; 0.05; ** p &lt; 0.01; *** p &lt; 0.001</w:t>
      </w:r>
    </w:p>
    <w:p w:rsidR="00B23C11" w:rsidRPr="00B23C11" w:rsidRDefault="00B23C11" w:rsidP="00FE52B8">
      <w:pPr>
        <w:spacing w:before="60" w:after="60" w:line="36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proofErr w:type="gramStart"/>
      <w:r w:rsidRPr="00B23C11">
        <w:rPr>
          <w:rFonts w:ascii="Arial" w:hAnsi="Arial" w:cs="Arial"/>
          <w:color w:val="000000" w:themeColor="text1"/>
          <w:sz w:val="18"/>
          <w:szCs w:val="18"/>
          <w:vertAlign w:val="superscript"/>
          <w:lang w:val="en-US"/>
        </w:rPr>
        <w:t>b</w:t>
      </w:r>
      <w:proofErr w:type="gram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number</w:t>
      </w:r>
      <w:r w:rsidR="00FE52B8">
        <w:rPr>
          <w:rFonts w:ascii="Arial" w:hAnsi="Arial" w:cs="Arial"/>
          <w:color w:val="000000" w:themeColor="text1"/>
          <w:sz w:val="18"/>
          <w:szCs w:val="18"/>
          <w:lang w:val="en-US"/>
        </w:rPr>
        <w:t>s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of participants included in the fully adjusted model</w:t>
      </w:r>
      <w:r w:rsidR="00FE52B8">
        <w:rPr>
          <w:rFonts w:ascii="Arial" w:hAnsi="Arial" w:cs="Arial"/>
          <w:color w:val="000000" w:themeColor="text1"/>
          <w:sz w:val="18"/>
          <w:szCs w:val="18"/>
          <w:lang w:val="en-US"/>
        </w:rPr>
        <w:t>s</w:t>
      </w:r>
      <w:r w:rsidR="00147B8D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="00147B8D" w:rsidRPr="00B23C11">
        <w:rPr>
          <w:rFonts w:ascii="Arial" w:hAnsi="Arial" w:cs="Arial"/>
          <w:color w:val="000000" w:themeColor="text1"/>
          <w:sz w:val="18"/>
          <w:szCs w:val="18"/>
          <w:lang w:val="en-US"/>
        </w:rPr>
        <w:t>(total cohort; men; women)</w:t>
      </w:r>
    </w:p>
    <w:p w:rsidR="003B0114" w:rsidRPr="00263454" w:rsidRDefault="00FE52B8">
      <w:pPr>
        <w:rPr>
          <w:lang w:val="en-US"/>
        </w:rPr>
      </w:pPr>
    </w:p>
    <w:p w:rsidR="00840045" w:rsidRPr="00263454" w:rsidRDefault="00840045">
      <w:pPr>
        <w:rPr>
          <w:lang w:val="en-US"/>
        </w:rPr>
      </w:pPr>
    </w:p>
    <w:p w:rsidR="00840045" w:rsidRDefault="00F94806" w:rsidP="00840045">
      <w:pPr>
        <w:spacing w:after="0" w:line="24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T</w:t>
      </w:r>
      <w:r w:rsidR="00840045">
        <w:rPr>
          <w:rFonts w:ascii="Arial" w:hAnsi="Arial" w:cs="Arial"/>
          <w:b/>
          <w:sz w:val="20"/>
          <w:szCs w:val="20"/>
          <w:lang w:val="en-US"/>
        </w:rPr>
        <w:t>able 3</w:t>
      </w:r>
      <w:r w:rsidR="00840045">
        <w:rPr>
          <w:rFonts w:ascii="Arial" w:hAnsi="Arial" w:cs="Arial"/>
          <w:sz w:val="20"/>
          <w:szCs w:val="20"/>
          <w:lang w:val="en-US"/>
        </w:rPr>
        <w:t xml:space="preserve"> Characteristics of </w:t>
      </w:r>
      <w:r w:rsidR="00840045" w:rsidRPr="00A76E60">
        <w:rPr>
          <w:rFonts w:ascii="Arial" w:hAnsi="Arial" w:cs="Arial"/>
          <w:sz w:val="20"/>
          <w:szCs w:val="20"/>
          <w:lang w:val="en-US"/>
        </w:rPr>
        <w:t>participants</w:t>
      </w:r>
      <w:r w:rsidR="00840045">
        <w:rPr>
          <w:rFonts w:ascii="Arial" w:hAnsi="Arial" w:cs="Arial"/>
          <w:sz w:val="20"/>
          <w:szCs w:val="20"/>
          <w:lang w:val="en-US"/>
        </w:rPr>
        <w:t xml:space="preserve"> in the follow-up analysis</w:t>
      </w:r>
      <w:r w:rsidR="00840045" w:rsidRPr="00A76E60">
        <w:rPr>
          <w:rFonts w:ascii="Arial" w:hAnsi="Arial" w:cs="Arial"/>
          <w:sz w:val="20"/>
          <w:szCs w:val="20"/>
          <w:lang w:val="en-US"/>
        </w:rPr>
        <w:t xml:space="preserve"> </w:t>
      </w:r>
      <w:r w:rsidR="00840045" w:rsidRPr="00A76E60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</w:p>
    <w:p w:rsidR="00840045" w:rsidRPr="00A76E60" w:rsidRDefault="00840045" w:rsidP="0084004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8188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1560"/>
        <w:gridCol w:w="850"/>
      </w:tblGrid>
      <w:tr w:rsidR="00840045" w:rsidRPr="00A76E60" w:rsidTr="00B441DA"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4634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45" w:rsidRPr="00A76E60" w:rsidRDefault="00840045" w:rsidP="0046348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>All subjects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45" w:rsidRPr="00A76E60" w:rsidRDefault="00840045" w:rsidP="0046348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>Men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6A79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>Women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45" w:rsidRPr="00A76E60" w:rsidRDefault="00840045" w:rsidP="00B441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 </w:t>
            </w:r>
            <w:r w:rsidRPr="00A76E60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b</w:t>
            </w:r>
            <w:r w:rsidRPr="00A76E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</w:t>
            </w:r>
          </w:p>
        </w:tc>
      </w:tr>
      <w:tr w:rsidR="00840045" w:rsidRPr="00A76E60" w:rsidTr="00B441DA">
        <w:tc>
          <w:tcPr>
            <w:tcW w:w="2660" w:type="dxa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4634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1A169B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635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6A796A" w:rsidRDefault="001A169B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A796A">
              <w:rPr>
                <w:rFonts w:ascii="Arial" w:hAnsi="Arial" w:cs="Arial"/>
                <w:sz w:val="18"/>
                <w:szCs w:val="18"/>
                <w:lang w:val="en-US"/>
              </w:rPr>
              <w:t>334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6A796A" w:rsidRDefault="001A169B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A796A">
              <w:rPr>
                <w:rFonts w:ascii="Arial" w:hAnsi="Arial" w:cs="Arial"/>
                <w:sz w:val="18"/>
                <w:szCs w:val="18"/>
                <w:lang w:val="en-US"/>
              </w:rPr>
              <w:t>301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B44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40045" w:rsidRPr="00A76E60" w:rsidTr="00B441DA"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4634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Age (years)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A796A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75.4</w:t>
            </w:r>
            <w:r w:rsidR="0088037D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88037D"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="0088037D">
              <w:rPr>
                <w:rFonts w:ascii="Arial" w:hAnsi="Arial" w:cs="Arial"/>
                <w:sz w:val="18"/>
                <w:szCs w:val="18"/>
              </w:rPr>
              <w:t xml:space="preserve"> 5.0)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6A796A" w:rsidRDefault="006A796A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75.5</w:t>
            </w:r>
            <w:r w:rsidR="0088037D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88037D"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="0088037D">
              <w:rPr>
                <w:rFonts w:ascii="Arial" w:hAnsi="Arial" w:cs="Arial"/>
                <w:sz w:val="18"/>
                <w:szCs w:val="18"/>
              </w:rPr>
              <w:t xml:space="preserve"> 5.1)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6A796A" w:rsidRDefault="006A796A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75.3</w:t>
            </w:r>
            <w:r w:rsidR="0088037D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88037D"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="0088037D">
              <w:rPr>
                <w:rFonts w:ascii="Arial" w:hAnsi="Arial" w:cs="Arial"/>
                <w:sz w:val="18"/>
                <w:szCs w:val="18"/>
              </w:rPr>
              <w:t xml:space="preserve"> 4.8)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2510F" w:rsidP="00B44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n.s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B441DA" w:rsidRPr="00A76E60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</w:t>
            </w:r>
          </w:p>
        </w:tc>
      </w:tr>
      <w:tr w:rsidR="00840045" w:rsidRPr="00A76E60" w:rsidTr="00B441DA"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4634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BMI (kg/m</w:t>
            </w:r>
            <w:r w:rsidRPr="00A76E60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A796A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28.3</w:t>
            </w:r>
            <w:r w:rsidR="0088037D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88037D"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="0088037D">
              <w:rPr>
                <w:rFonts w:ascii="Arial" w:hAnsi="Arial" w:cs="Arial"/>
                <w:sz w:val="18"/>
                <w:szCs w:val="18"/>
              </w:rPr>
              <w:t xml:space="preserve"> 4.4)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A796A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28.3</w:t>
            </w:r>
            <w:r w:rsidR="0088037D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88037D"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="0088037D">
              <w:rPr>
                <w:rFonts w:ascii="Arial" w:hAnsi="Arial" w:cs="Arial"/>
                <w:sz w:val="18"/>
                <w:szCs w:val="18"/>
              </w:rPr>
              <w:t xml:space="preserve"> 3.8)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A796A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28.3</w:t>
            </w:r>
            <w:r w:rsidR="0088037D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88037D"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="0088037D">
              <w:rPr>
                <w:rFonts w:ascii="Arial" w:hAnsi="Arial" w:cs="Arial"/>
                <w:sz w:val="18"/>
                <w:szCs w:val="18"/>
              </w:rPr>
              <w:t xml:space="preserve"> 4.9)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2510F" w:rsidP="00B44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n.s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B441DA" w:rsidRPr="00A76E60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</w:t>
            </w:r>
          </w:p>
        </w:tc>
      </w:tr>
      <w:tr w:rsidR="00840045" w:rsidRPr="00A76E60" w:rsidTr="00B441DA"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4634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Waist circumference (cm)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A796A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100.0</w:t>
            </w:r>
            <w:r w:rsidR="0088037D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88037D" w:rsidRPr="00A76E60">
              <w:rPr>
                <w:rFonts w:ascii="Arial" w:hAnsi="Arial" w:cs="Arial"/>
                <w:sz w:val="18"/>
                <w:szCs w:val="18"/>
              </w:rPr>
              <w:t>±</w:t>
            </w:r>
            <w:r w:rsidR="0088037D">
              <w:rPr>
                <w:rFonts w:ascii="Arial" w:hAnsi="Arial" w:cs="Arial"/>
                <w:sz w:val="18"/>
                <w:szCs w:val="18"/>
              </w:rPr>
              <w:t xml:space="preserve"> 12.2)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104.5 (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10.3)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94.8 (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12.4)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2564F" w:rsidP="00B44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 0.0</w:t>
            </w:r>
            <w:r w:rsidR="0084740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441DA" w:rsidRPr="00A76E60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</w:t>
            </w:r>
          </w:p>
        </w:tc>
      </w:tr>
      <w:tr w:rsidR="00840045" w:rsidRPr="00A76E60" w:rsidTr="00B441DA"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4634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Systolic blood pressure (mmHg)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123.2 (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19.3)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126.0 (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19.3)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8803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120.1 (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18.9)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2564F" w:rsidP="00B44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 0.0</w:t>
            </w:r>
            <w:r w:rsidR="0084740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441DA" w:rsidRPr="00A76E60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</w:t>
            </w:r>
          </w:p>
        </w:tc>
      </w:tr>
      <w:tr w:rsidR="00840045" w:rsidRPr="00A76E60" w:rsidTr="00B441DA"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4634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Diastolic blood pressure (mmHg)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69.3 (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9.9)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70.4 (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10.2)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68.1 (</w:t>
            </w:r>
            <w:r w:rsidRPr="00A76E60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 xml:space="preserve"> 9.3)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2564F" w:rsidP="00B44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 0.01</w:t>
            </w:r>
            <w:r w:rsidR="00B441DA" w:rsidRPr="00A76E60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</w:t>
            </w:r>
          </w:p>
        </w:tc>
      </w:tr>
      <w:tr w:rsidR="00840045" w:rsidRPr="00A76E60" w:rsidTr="00B441DA"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4634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Arterial hypertension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418 (66)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230 (69)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188 (62)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B441DA" w:rsidRDefault="0062510F" w:rsidP="00B44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n.s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B441DA" w:rsidRPr="00A76E60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###</w:t>
            </w:r>
          </w:p>
        </w:tc>
      </w:tr>
      <w:tr w:rsidR="00840045" w:rsidRPr="00A76E60" w:rsidTr="00B441DA"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683E83" w:rsidRDefault="00840045" w:rsidP="004634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E83">
              <w:rPr>
                <w:rFonts w:ascii="Arial" w:hAnsi="Arial" w:cs="Arial"/>
                <w:sz w:val="18"/>
                <w:szCs w:val="18"/>
                <w:lang w:val="en-US"/>
              </w:rPr>
              <w:t>Prediabetes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683E83" w:rsidRDefault="00365A5F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E83">
              <w:rPr>
                <w:rFonts w:ascii="Arial" w:hAnsi="Arial" w:cs="Arial"/>
                <w:sz w:val="18"/>
                <w:szCs w:val="18"/>
                <w:lang w:val="en-US"/>
              </w:rPr>
              <w:t>206 (32</w:t>
            </w:r>
            <w:r w:rsidR="00A83D77" w:rsidRPr="00683E83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683E83" w:rsidRDefault="00365A5F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E83">
              <w:rPr>
                <w:rFonts w:ascii="Arial" w:hAnsi="Arial" w:cs="Arial"/>
                <w:sz w:val="18"/>
                <w:szCs w:val="18"/>
                <w:lang w:val="en-US"/>
              </w:rPr>
              <w:t>115 (34</w:t>
            </w:r>
            <w:r w:rsidR="00A83D77" w:rsidRPr="00683E83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683E83" w:rsidRDefault="00365A5F" w:rsidP="00365A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E83">
              <w:rPr>
                <w:rFonts w:ascii="Arial" w:hAnsi="Arial" w:cs="Arial"/>
                <w:sz w:val="18"/>
                <w:szCs w:val="18"/>
                <w:lang w:val="en-US"/>
              </w:rPr>
              <w:t>91 (30</w:t>
            </w:r>
            <w:r w:rsidR="00A83D77" w:rsidRPr="00683E83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2510F" w:rsidP="0062510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n.s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B441DA" w:rsidRPr="00A76E60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###</w:t>
            </w:r>
          </w:p>
        </w:tc>
      </w:tr>
      <w:tr w:rsidR="00840045" w:rsidRPr="00A76E60" w:rsidTr="00B441DA"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683E83" w:rsidRDefault="009337DC" w:rsidP="009337D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E83">
              <w:rPr>
                <w:rFonts w:ascii="Arial" w:hAnsi="Arial" w:cs="Arial"/>
                <w:sz w:val="18"/>
                <w:szCs w:val="18"/>
                <w:lang w:val="en-US"/>
              </w:rPr>
              <w:t>Type 2 d</w:t>
            </w:r>
            <w:r w:rsidR="00840045" w:rsidRPr="00683E83">
              <w:rPr>
                <w:rFonts w:ascii="Arial" w:hAnsi="Arial" w:cs="Arial"/>
                <w:sz w:val="18"/>
                <w:szCs w:val="18"/>
                <w:lang w:val="en-US"/>
              </w:rPr>
              <w:t>iabetes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683E83" w:rsidRDefault="009337DC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E83">
              <w:rPr>
                <w:rFonts w:ascii="Arial" w:hAnsi="Arial" w:cs="Arial"/>
                <w:sz w:val="18"/>
                <w:szCs w:val="18"/>
                <w:lang w:val="en-US"/>
              </w:rPr>
              <w:t>172 (27</w:t>
            </w:r>
            <w:r w:rsidR="00A83D77" w:rsidRPr="00683E83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683E83" w:rsidRDefault="009337DC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E83">
              <w:rPr>
                <w:rFonts w:ascii="Arial" w:hAnsi="Arial" w:cs="Arial"/>
                <w:sz w:val="18"/>
                <w:szCs w:val="18"/>
                <w:lang w:val="en-US"/>
              </w:rPr>
              <w:t>105 (31</w:t>
            </w:r>
            <w:r w:rsidR="00A83D77" w:rsidRPr="00683E83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683E83" w:rsidRDefault="009337DC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E83">
              <w:rPr>
                <w:rFonts w:ascii="Arial" w:hAnsi="Arial" w:cs="Arial"/>
                <w:sz w:val="18"/>
                <w:szCs w:val="18"/>
                <w:lang w:val="en-US"/>
              </w:rPr>
              <w:t>67 (22</w:t>
            </w:r>
            <w:r w:rsidR="00A83D77" w:rsidRPr="00683E83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B441DA" w:rsidRDefault="0084740D" w:rsidP="00B44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0.01</w:t>
            </w:r>
            <w:r w:rsidR="00B441DA" w:rsidRPr="00A76E60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###</w:t>
            </w:r>
          </w:p>
        </w:tc>
      </w:tr>
      <w:tr w:rsidR="00840045" w:rsidRPr="00A76E60" w:rsidTr="00B441DA"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4634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HbA1c (</w:t>
            </w:r>
            <w:proofErr w:type="spellStart"/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mmol</w:t>
            </w:r>
            <w:proofErr w:type="spellEnd"/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mol</w:t>
            </w:r>
            <w:proofErr w:type="spellEnd"/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A83D77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38.0 (36.1; 41.0)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A83D77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38.0 (35.0; 42.0)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A83D77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38.0 (36.1; 41.0)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2510F" w:rsidP="00B44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n.s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B441DA" w:rsidRPr="00A76E60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##</w:t>
            </w:r>
          </w:p>
        </w:tc>
      </w:tr>
      <w:tr w:rsidR="00840045" w:rsidRPr="00A76E60" w:rsidTr="00B441DA">
        <w:tc>
          <w:tcPr>
            <w:tcW w:w="2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4634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HbA1c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5.6 (5.4; 5.9)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5.6 (5.4; 6.0)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8037D" w:rsidP="004634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5.6 (5.4; 5.9)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2510F" w:rsidP="00B44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n.s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B441DA" w:rsidRPr="00A76E60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##</w:t>
            </w:r>
          </w:p>
        </w:tc>
      </w:tr>
      <w:tr w:rsidR="00840045" w:rsidRPr="00A76E60" w:rsidTr="00B441DA"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840045" w:rsidP="004634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eGFR (ml/min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/1.73 m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A76E60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45" w:rsidRPr="00A76E60" w:rsidRDefault="0088037D" w:rsidP="0046348A">
            <w:pPr>
              <w:spacing w:after="0" w:line="20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68.6 (58.2; 80.4)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45" w:rsidRPr="00A76E60" w:rsidRDefault="0088037D" w:rsidP="0046348A">
            <w:pPr>
              <w:spacing w:after="0" w:line="20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69.3 (58.7; 81.1)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045" w:rsidRPr="00A76E60" w:rsidRDefault="0088037D" w:rsidP="0046348A">
            <w:pPr>
              <w:spacing w:after="0" w:line="20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67.4 (57.9; 78.8)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045" w:rsidRPr="00A76E60" w:rsidRDefault="0062510F" w:rsidP="00B44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n.s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B441DA" w:rsidRPr="00A76E60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##</w:t>
            </w:r>
          </w:p>
        </w:tc>
      </w:tr>
    </w:tbl>
    <w:p w:rsidR="00840045" w:rsidRPr="00A76E60" w:rsidRDefault="00840045" w:rsidP="00FE52B8">
      <w:pPr>
        <w:spacing w:before="240" w:after="0" w:line="360" w:lineRule="auto"/>
        <w:rPr>
          <w:rFonts w:ascii="Arial" w:hAnsi="Arial" w:cs="Arial"/>
          <w:sz w:val="18"/>
          <w:szCs w:val="18"/>
          <w:lang w:val="en-US"/>
        </w:rPr>
      </w:pPr>
      <w:proofErr w:type="gramStart"/>
      <w:r w:rsidRPr="00A76E60">
        <w:rPr>
          <w:rFonts w:ascii="Arial" w:hAnsi="Arial" w:cs="Arial"/>
          <w:sz w:val="18"/>
          <w:szCs w:val="18"/>
          <w:vertAlign w:val="superscript"/>
          <w:lang w:val="en-US"/>
        </w:rPr>
        <w:t>a</w:t>
      </w:r>
      <w:proofErr w:type="gramEnd"/>
      <w:r w:rsidRPr="00A76E60">
        <w:rPr>
          <w:rFonts w:ascii="Arial" w:hAnsi="Arial" w:cs="Arial"/>
          <w:sz w:val="18"/>
          <w:szCs w:val="18"/>
          <w:vertAlign w:val="superscript"/>
          <w:lang w:val="en-US"/>
        </w:rPr>
        <w:t xml:space="preserve"> </w:t>
      </w:r>
      <w:r w:rsidRPr="00A76E60">
        <w:rPr>
          <w:rFonts w:ascii="Arial" w:hAnsi="Arial" w:cs="Arial"/>
          <w:sz w:val="18"/>
          <w:szCs w:val="18"/>
          <w:lang w:val="en-US"/>
        </w:rPr>
        <w:t>Means ± standard deviation, median (first quartile; third quartile), or proportion (%);</w:t>
      </w:r>
    </w:p>
    <w:p w:rsidR="00840045" w:rsidRPr="00A76E60" w:rsidRDefault="00840045" w:rsidP="00FE52B8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proofErr w:type="gramStart"/>
      <w:r w:rsidRPr="00A76E60">
        <w:rPr>
          <w:rFonts w:ascii="Arial" w:hAnsi="Arial" w:cs="Arial"/>
          <w:sz w:val="18"/>
          <w:szCs w:val="18"/>
          <w:vertAlign w:val="superscript"/>
          <w:lang w:val="en-US"/>
        </w:rPr>
        <w:t>b</w:t>
      </w:r>
      <w:proofErr w:type="gramEnd"/>
      <w:r w:rsidRPr="00A76E60">
        <w:rPr>
          <w:rFonts w:ascii="Arial" w:hAnsi="Arial" w:cs="Arial"/>
          <w:sz w:val="18"/>
          <w:szCs w:val="18"/>
          <w:vertAlign w:val="superscript"/>
          <w:lang w:val="en-US"/>
        </w:rPr>
        <w:t xml:space="preserve"> </w:t>
      </w:r>
      <w:r w:rsidRPr="00A76E60">
        <w:rPr>
          <w:rFonts w:ascii="Arial" w:hAnsi="Arial" w:cs="Arial"/>
          <w:sz w:val="18"/>
          <w:szCs w:val="18"/>
          <w:lang w:val="en-US"/>
        </w:rPr>
        <w:t>The p value is related to the null hypothesis of no sex differences;</w:t>
      </w:r>
    </w:p>
    <w:p w:rsidR="00840045" w:rsidRDefault="00840045" w:rsidP="00FE52B8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6B44E6">
        <w:rPr>
          <w:rFonts w:ascii="Arial" w:hAnsi="Arial" w:cs="Arial"/>
          <w:sz w:val="18"/>
          <w:szCs w:val="18"/>
          <w:vertAlign w:val="superscript"/>
          <w:lang w:val="en-US"/>
        </w:rPr>
        <w:t>#</w:t>
      </w:r>
      <w:r w:rsidRPr="00A76E60">
        <w:rPr>
          <w:rFonts w:ascii="Arial" w:hAnsi="Arial" w:cs="Arial"/>
          <w:sz w:val="18"/>
          <w:szCs w:val="18"/>
          <w:lang w:val="en-US"/>
        </w:rPr>
        <w:t xml:space="preserve"> t-Test; </w:t>
      </w:r>
      <w:r w:rsidRPr="006B44E6">
        <w:rPr>
          <w:rFonts w:ascii="Arial" w:hAnsi="Arial" w:cs="Arial"/>
          <w:sz w:val="18"/>
          <w:szCs w:val="18"/>
          <w:vertAlign w:val="superscript"/>
          <w:lang w:val="en-US"/>
        </w:rPr>
        <w:t>##</w:t>
      </w:r>
      <w:r w:rsidRPr="00A76E60">
        <w:rPr>
          <w:rFonts w:ascii="Arial" w:hAnsi="Arial" w:cs="Arial"/>
          <w:sz w:val="18"/>
          <w:szCs w:val="18"/>
          <w:lang w:val="en-US"/>
        </w:rPr>
        <w:t xml:space="preserve"> Mann-Whitney U-test; </w:t>
      </w:r>
      <w:r w:rsidRPr="006B44E6">
        <w:rPr>
          <w:rFonts w:ascii="Arial" w:hAnsi="Arial" w:cs="Arial"/>
          <w:sz w:val="18"/>
          <w:szCs w:val="18"/>
          <w:vertAlign w:val="superscript"/>
          <w:lang w:val="en-US"/>
        </w:rPr>
        <w:t>###</w:t>
      </w:r>
      <w:r w:rsidRPr="00A76E60">
        <w:rPr>
          <w:rFonts w:ascii="Arial" w:hAnsi="Arial" w:cs="Arial"/>
          <w:sz w:val="18"/>
          <w:szCs w:val="18"/>
          <w:lang w:val="en-US"/>
        </w:rPr>
        <w:t xml:space="preserve"> Chi-square test </w:t>
      </w:r>
    </w:p>
    <w:p w:rsidR="00FE52B8" w:rsidRPr="00840045" w:rsidRDefault="00FE52B8" w:rsidP="00FE52B8">
      <w:pPr>
        <w:spacing w:after="0" w:line="360" w:lineRule="auto"/>
        <w:rPr>
          <w:lang w:val="en-US"/>
        </w:rPr>
      </w:pPr>
      <w:proofErr w:type="spellStart"/>
      <w:proofErr w:type="gramStart"/>
      <w:r>
        <w:rPr>
          <w:rFonts w:ascii="Arial" w:hAnsi="Arial" w:cs="Arial"/>
          <w:sz w:val="18"/>
          <w:szCs w:val="18"/>
          <w:lang w:val="en-US"/>
        </w:rPr>
        <w:t>n.s</w:t>
      </w:r>
      <w:proofErr w:type="spellEnd"/>
      <w:proofErr w:type="gramEnd"/>
      <w:r>
        <w:rPr>
          <w:rFonts w:ascii="Arial" w:hAnsi="Arial" w:cs="Arial"/>
          <w:sz w:val="18"/>
          <w:szCs w:val="18"/>
          <w:lang w:val="en-US"/>
        </w:rPr>
        <w:t>. not significant</w:t>
      </w:r>
    </w:p>
    <w:sectPr w:rsidR="00FE52B8" w:rsidRPr="0084004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3AA" w:rsidRDefault="00A023AA" w:rsidP="00A023AA">
      <w:pPr>
        <w:spacing w:after="0" w:line="240" w:lineRule="auto"/>
      </w:pPr>
      <w:r>
        <w:separator/>
      </w:r>
    </w:p>
  </w:endnote>
  <w:endnote w:type="continuationSeparator" w:id="0">
    <w:p w:rsidR="00A023AA" w:rsidRDefault="00A023AA" w:rsidP="00A0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435835"/>
      <w:docPartObj>
        <w:docPartGallery w:val="Page Numbers (Bottom of Page)"/>
        <w:docPartUnique/>
      </w:docPartObj>
    </w:sdtPr>
    <w:sdtContent>
      <w:p w:rsidR="00A023AA" w:rsidRDefault="00A023A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2B8">
          <w:rPr>
            <w:noProof/>
          </w:rPr>
          <w:t>3</w:t>
        </w:r>
        <w:r>
          <w:fldChar w:fldCharType="end"/>
        </w:r>
      </w:p>
    </w:sdtContent>
  </w:sdt>
  <w:p w:rsidR="00A023AA" w:rsidRDefault="00A023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3AA" w:rsidRDefault="00A023AA" w:rsidP="00A023AA">
      <w:pPr>
        <w:spacing w:after="0" w:line="240" w:lineRule="auto"/>
      </w:pPr>
      <w:r>
        <w:separator/>
      </w:r>
    </w:p>
  </w:footnote>
  <w:footnote w:type="continuationSeparator" w:id="0">
    <w:p w:rsidR="00A023AA" w:rsidRDefault="00A023AA" w:rsidP="00A02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A2"/>
    <w:rsid w:val="00147B8D"/>
    <w:rsid w:val="001A169B"/>
    <w:rsid w:val="001E22E7"/>
    <w:rsid w:val="00263454"/>
    <w:rsid w:val="002A41CD"/>
    <w:rsid w:val="002C3C5F"/>
    <w:rsid w:val="002F541D"/>
    <w:rsid w:val="00365A5F"/>
    <w:rsid w:val="00386C9B"/>
    <w:rsid w:val="005B3B40"/>
    <w:rsid w:val="005E3429"/>
    <w:rsid w:val="0062510F"/>
    <w:rsid w:val="0062564F"/>
    <w:rsid w:val="006312C6"/>
    <w:rsid w:val="00633CFC"/>
    <w:rsid w:val="00667FD6"/>
    <w:rsid w:val="00683E83"/>
    <w:rsid w:val="006A796A"/>
    <w:rsid w:val="006B44E6"/>
    <w:rsid w:val="00716A06"/>
    <w:rsid w:val="007D2444"/>
    <w:rsid w:val="00840045"/>
    <w:rsid w:val="0084740D"/>
    <w:rsid w:val="0088037D"/>
    <w:rsid w:val="008F3465"/>
    <w:rsid w:val="009337DC"/>
    <w:rsid w:val="00953EE1"/>
    <w:rsid w:val="00A023AA"/>
    <w:rsid w:val="00A43368"/>
    <w:rsid w:val="00A83D77"/>
    <w:rsid w:val="00AA4857"/>
    <w:rsid w:val="00AC199F"/>
    <w:rsid w:val="00B23C11"/>
    <w:rsid w:val="00B34348"/>
    <w:rsid w:val="00B441DA"/>
    <w:rsid w:val="00BD42FB"/>
    <w:rsid w:val="00BD5812"/>
    <w:rsid w:val="00C340D3"/>
    <w:rsid w:val="00C561A5"/>
    <w:rsid w:val="00C94949"/>
    <w:rsid w:val="00CF1AA2"/>
    <w:rsid w:val="00F9480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B7F6"/>
  <w15:chartTrackingRefBased/>
  <w15:docId w15:val="{E291D292-702D-4258-9829-04D19C3D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1AA2"/>
    <w:pPr>
      <w:spacing w:after="200" w:line="276" w:lineRule="auto"/>
    </w:pPr>
    <w:rPr>
      <w:rFonts w:ascii="Calibri" w:eastAsia="Calibri" w:hAnsi="Calibri" w:cs="Basic Roman"/>
      <w:lang w:eastAsia="zh-CN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67FD6"/>
    <w:pPr>
      <w:keepNext/>
      <w:keepLines/>
      <w:spacing w:before="240" w:after="120" w:line="259" w:lineRule="auto"/>
      <w:outlineLvl w:val="0"/>
    </w:pPr>
    <w:rPr>
      <w:rFonts w:ascii="Arial" w:eastAsiaTheme="majorEastAsia" w:hAnsi="Arial" w:cstheme="majorBidi"/>
      <w:b/>
      <w:color w:val="2E74B5" w:themeColor="accent1" w:themeShade="BF"/>
      <w:sz w:val="24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7FD6"/>
    <w:rPr>
      <w:rFonts w:ascii="Arial" w:eastAsiaTheme="majorEastAsia" w:hAnsi="Arial" w:cstheme="majorBidi"/>
      <w:b/>
      <w:color w:val="2E74B5" w:themeColor="accent1" w:themeShade="BF"/>
      <w:sz w:val="24"/>
      <w:szCs w:val="32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94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94806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02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23AA"/>
    <w:rPr>
      <w:rFonts w:ascii="Calibri" w:eastAsia="Calibri" w:hAnsi="Calibri" w:cs="Basic Roma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A02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23AA"/>
    <w:rPr>
      <w:rFonts w:ascii="Calibri" w:eastAsia="Calibri" w:hAnsi="Calibri" w:cs="Basic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cthen</dc:creator>
  <cp:keywords/>
  <dc:description/>
  <cp:lastModifiedBy>cthen</cp:lastModifiedBy>
  <cp:revision>35</cp:revision>
  <dcterms:created xsi:type="dcterms:W3CDTF">2019-02-15T07:37:00Z</dcterms:created>
  <dcterms:modified xsi:type="dcterms:W3CDTF">2019-02-19T14:09:00Z</dcterms:modified>
</cp:coreProperties>
</file>